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Ex1.xml" ContentType="application/vnd.ms-office.chartex+xml"/>
  <Override PartName="/word/charts/style19.xml" ContentType="application/vnd.ms-office.chartstyle+xml"/>
  <Override PartName="/word/charts/colors19.xml" ContentType="application/vnd.ms-office.chartcolorstyle+xml"/>
  <Override PartName="/word/charts/chart19.xml" ContentType="application/vnd.openxmlformats-officedocument.drawingml.chart+xml"/>
  <Override PartName="/word/charts/style20.xml" ContentType="application/vnd.ms-office.chartstyle+xml"/>
  <Override PartName="/word/charts/colors20.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6CB" w:rsidRDefault="00A46CAC">
      <w:pPr>
        <w:rPr>
          <w:b/>
          <w:lang w:val="en-US"/>
        </w:rPr>
      </w:pPr>
      <w:bookmarkStart w:id="0" w:name="_GoBack"/>
      <w:bookmarkEnd w:id="0"/>
      <w:r>
        <w:rPr>
          <w:b/>
          <w:lang w:val="en-US"/>
        </w:rPr>
        <w:t>MGSC 1206 Winter 2020</w:t>
      </w:r>
    </w:p>
    <w:p w:rsidR="00A46CAC" w:rsidRDefault="00A46CAC">
      <w:pPr>
        <w:rPr>
          <w:b/>
          <w:lang w:val="en-US"/>
        </w:rPr>
      </w:pPr>
      <w:r>
        <w:rPr>
          <w:b/>
          <w:lang w:val="en-US"/>
        </w:rPr>
        <w:t>Guidance on Writing Your Project Report</w:t>
      </w:r>
    </w:p>
    <w:p w:rsidR="00A46CAC" w:rsidRDefault="00A46CAC">
      <w:pPr>
        <w:rPr>
          <w:lang w:val="en-US"/>
        </w:rPr>
      </w:pPr>
      <w:r>
        <w:rPr>
          <w:lang w:val="en-US"/>
        </w:rPr>
        <w:t xml:space="preserve">The notes that follow are a continuation of two previous memos, </w:t>
      </w:r>
    </w:p>
    <w:p w:rsidR="00A46CAC" w:rsidRPr="00A46CAC" w:rsidRDefault="00A46CAC" w:rsidP="00A46CAC">
      <w:pPr>
        <w:pStyle w:val="ListParagraph"/>
        <w:numPr>
          <w:ilvl w:val="0"/>
          <w:numId w:val="1"/>
        </w:numPr>
        <w:rPr>
          <w:lang w:val="en-US"/>
        </w:rPr>
      </w:pPr>
      <w:r w:rsidRPr="00A46CAC">
        <w:rPr>
          <w:lang w:val="en-US"/>
        </w:rPr>
        <w:t xml:space="preserve">MGSC 1206 Group Project Winter 2020 </w:t>
      </w:r>
    </w:p>
    <w:p w:rsidR="00A46CAC" w:rsidRDefault="00A46CAC" w:rsidP="00A46CAC">
      <w:pPr>
        <w:pStyle w:val="ListParagraph"/>
        <w:numPr>
          <w:ilvl w:val="0"/>
          <w:numId w:val="1"/>
        </w:numPr>
        <w:rPr>
          <w:lang w:val="en-US"/>
        </w:rPr>
      </w:pPr>
      <w:r w:rsidRPr="00A46CAC">
        <w:rPr>
          <w:lang w:val="en-US"/>
        </w:rPr>
        <w:t>Guidance on Managing Projects</w:t>
      </w:r>
    </w:p>
    <w:p w:rsidR="00A46CAC" w:rsidRDefault="00A46CAC" w:rsidP="00A46CAC">
      <w:pPr>
        <w:rPr>
          <w:lang w:val="en-US"/>
        </w:rPr>
      </w:pPr>
      <w:r>
        <w:rPr>
          <w:lang w:val="en-US"/>
        </w:rPr>
        <w:t>Both are posted in the Project folder.  Read them.</w:t>
      </w:r>
    </w:p>
    <w:p w:rsidR="00467D12" w:rsidRDefault="00467D12" w:rsidP="00A46CAC">
      <w:pPr>
        <w:rPr>
          <w:lang w:val="en-US"/>
        </w:rPr>
      </w:pPr>
      <w:r>
        <w:rPr>
          <w:lang w:val="en-US"/>
        </w:rPr>
        <w:t>In this memo, several topics are addressed:</w:t>
      </w:r>
    </w:p>
    <w:p w:rsidR="00467D12" w:rsidRDefault="00467D12" w:rsidP="00467D12">
      <w:pPr>
        <w:pStyle w:val="ListParagraph"/>
        <w:numPr>
          <w:ilvl w:val="0"/>
          <w:numId w:val="8"/>
        </w:numPr>
        <w:rPr>
          <w:lang w:val="en-US"/>
        </w:rPr>
      </w:pPr>
      <w:r>
        <w:rPr>
          <w:lang w:val="en-US"/>
        </w:rPr>
        <w:t>Grading</w:t>
      </w:r>
    </w:p>
    <w:p w:rsidR="00467D12" w:rsidRDefault="00467D12" w:rsidP="00467D12">
      <w:pPr>
        <w:pStyle w:val="ListParagraph"/>
        <w:numPr>
          <w:ilvl w:val="0"/>
          <w:numId w:val="8"/>
        </w:numPr>
        <w:rPr>
          <w:lang w:val="en-US"/>
        </w:rPr>
      </w:pPr>
      <w:r>
        <w:rPr>
          <w:lang w:val="en-US"/>
        </w:rPr>
        <w:t xml:space="preserve">Problem Statement </w:t>
      </w:r>
    </w:p>
    <w:p w:rsidR="00467D12" w:rsidRDefault="00467D12" w:rsidP="00467D12">
      <w:pPr>
        <w:pStyle w:val="ListParagraph"/>
        <w:numPr>
          <w:ilvl w:val="0"/>
          <w:numId w:val="8"/>
        </w:numPr>
        <w:rPr>
          <w:lang w:val="en-US"/>
        </w:rPr>
      </w:pPr>
      <w:r>
        <w:rPr>
          <w:lang w:val="en-US"/>
        </w:rPr>
        <w:t>Data Selection and Quality</w:t>
      </w:r>
      <w:r w:rsidR="000D0E1F">
        <w:rPr>
          <w:lang w:val="en-US"/>
        </w:rPr>
        <w:t xml:space="preserve"> (page 3)</w:t>
      </w:r>
    </w:p>
    <w:p w:rsidR="00467D12" w:rsidRDefault="00467D12" w:rsidP="00467D12">
      <w:pPr>
        <w:pStyle w:val="ListParagraph"/>
        <w:numPr>
          <w:ilvl w:val="0"/>
          <w:numId w:val="8"/>
        </w:numPr>
        <w:rPr>
          <w:lang w:val="en-US"/>
        </w:rPr>
      </w:pPr>
      <w:r>
        <w:rPr>
          <w:lang w:val="en-US"/>
        </w:rPr>
        <w:t>Analysis</w:t>
      </w:r>
      <w:r w:rsidR="000D0E1F">
        <w:rPr>
          <w:lang w:val="en-US"/>
        </w:rPr>
        <w:t xml:space="preserve"> (page 4)</w:t>
      </w:r>
    </w:p>
    <w:p w:rsidR="00467D12" w:rsidRDefault="00467D12" w:rsidP="00467D12">
      <w:pPr>
        <w:pStyle w:val="ListParagraph"/>
        <w:numPr>
          <w:ilvl w:val="0"/>
          <w:numId w:val="8"/>
        </w:numPr>
        <w:rPr>
          <w:lang w:val="en-US"/>
        </w:rPr>
      </w:pPr>
      <w:r>
        <w:rPr>
          <w:lang w:val="en-US"/>
        </w:rPr>
        <w:t>Conclusions and Recommendations</w:t>
      </w:r>
      <w:r w:rsidR="000D0E1F">
        <w:rPr>
          <w:lang w:val="en-US"/>
        </w:rPr>
        <w:t xml:space="preserve"> (page 6)</w:t>
      </w:r>
    </w:p>
    <w:p w:rsidR="00467D12" w:rsidRDefault="00467D12" w:rsidP="00467D12">
      <w:pPr>
        <w:pStyle w:val="ListParagraph"/>
        <w:numPr>
          <w:ilvl w:val="0"/>
          <w:numId w:val="8"/>
        </w:numPr>
        <w:rPr>
          <w:lang w:val="en-US"/>
        </w:rPr>
      </w:pPr>
      <w:r>
        <w:rPr>
          <w:lang w:val="en-US"/>
        </w:rPr>
        <w:t>Communication – choosing and displaying the right chart</w:t>
      </w:r>
      <w:r w:rsidR="000D0E1F">
        <w:rPr>
          <w:lang w:val="en-US"/>
        </w:rPr>
        <w:t xml:space="preserve"> (page 7)</w:t>
      </w:r>
    </w:p>
    <w:p w:rsidR="0064415A" w:rsidRDefault="0064415A" w:rsidP="0064415A">
      <w:pPr>
        <w:pStyle w:val="ListParagraph"/>
        <w:numPr>
          <w:ilvl w:val="1"/>
          <w:numId w:val="8"/>
        </w:numPr>
        <w:rPr>
          <w:lang w:val="en-US"/>
        </w:rPr>
      </w:pPr>
      <w:r>
        <w:rPr>
          <w:lang w:val="en-US"/>
        </w:rPr>
        <w:t>Line charts</w:t>
      </w:r>
      <w:r w:rsidR="001C1F8F">
        <w:rPr>
          <w:lang w:val="en-US"/>
        </w:rPr>
        <w:t xml:space="preserve"> (page 7)</w:t>
      </w:r>
    </w:p>
    <w:p w:rsidR="0064415A" w:rsidRDefault="0064415A" w:rsidP="0064415A">
      <w:pPr>
        <w:pStyle w:val="ListParagraph"/>
        <w:numPr>
          <w:ilvl w:val="1"/>
          <w:numId w:val="8"/>
        </w:numPr>
        <w:rPr>
          <w:lang w:val="en-US"/>
        </w:rPr>
      </w:pPr>
      <w:r>
        <w:rPr>
          <w:lang w:val="en-US"/>
        </w:rPr>
        <w:t>Pie Charts</w:t>
      </w:r>
      <w:r w:rsidR="001C1F8F">
        <w:rPr>
          <w:lang w:val="en-US"/>
        </w:rPr>
        <w:t xml:space="preserve"> (page 8)</w:t>
      </w:r>
    </w:p>
    <w:p w:rsidR="0064415A" w:rsidRDefault="0064415A" w:rsidP="0064415A">
      <w:pPr>
        <w:pStyle w:val="ListParagraph"/>
        <w:numPr>
          <w:ilvl w:val="1"/>
          <w:numId w:val="8"/>
        </w:numPr>
        <w:rPr>
          <w:lang w:val="en-US"/>
        </w:rPr>
      </w:pPr>
      <w:r>
        <w:rPr>
          <w:lang w:val="en-US"/>
        </w:rPr>
        <w:t>Column Charts</w:t>
      </w:r>
      <w:r w:rsidR="001C1F8F">
        <w:rPr>
          <w:lang w:val="en-US"/>
        </w:rPr>
        <w:t xml:space="preserve"> (page 11)</w:t>
      </w:r>
    </w:p>
    <w:p w:rsidR="0064415A" w:rsidRDefault="0064415A" w:rsidP="0064415A">
      <w:pPr>
        <w:pStyle w:val="ListParagraph"/>
        <w:numPr>
          <w:ilvl w:val="1"/>
          <w:numId w:val="8"/>
        </w:numPr>
        <w:rPr>
          <w:lang w:val="en-US"/>
        </w:rPr>
      </w:pPr>
      <w:r>
        <w:rPr>
          <w:lang w:val="en-US"/>
        </w:rPr>
        <w:t>Bar Charts</w:t>
      </w:r>
      <w:r w:rsidR="001C1F8F">
        <w:rPr>
          <w:lang w:val="en-US"/>
        </w:rPr>
        <w:t xml:space="preserve"> (page 14)</w:t>
      </w:r>
    </w:p>
    <w:p w:rsidR="0064415A" w:rsidRDefault="0064415A" w:rsidP="0064415A">
      <w:pPr>
        <w:pStyle w:val="ListParagraph"/>
        <w:numPr>
          <w:ilvl w:val="1"/>
          <w:numId w:val="8"/>
        </w:numPr>
        <w:rPr>
          <w:lang w:val="en-US"/>
        </w:rPr>
      </w:pPr>
      <w:r>
        <w:rPr>
          <w:lang w:val="en-US"/>
        </w:rPr>
        <w:t>Histograms and Box and Whisker Charts</w:t>
      </w:r>
      <w:r w:rsidR="001C1F8F">
        <w:rPr>
          <w:lang w:val="en-US"/>
        </w:rPr>
        <w:t xml:space="preserve"> (page 16)</w:t>
      </w:r>
    </w:p>
    <w:p w:rsidR="00467D12" w:rsidRDefault="00467D12" w:rsidP="00467D12">
      <w:pPr>
        <w:pStyle w:val="ListParagraph"/>
        <w:numPr>
          <w:ilvl w:val="0"/>
          <w:numId w:val="8"/>
        </w:numPr>
        <w:rPr>
          <w:lang w:val="en-US"/>
        </w:rPr>
      </w:pPr>
      <w:r>
        <w:rPr>
          <w:lang w:val="en-US"/>
        </w:rPr>
        <w:t>Storytelling</w:t>
      </w:r>
      <w:r w:rsidR="0064415A">
        <w:rPr>
          <w:lang w:val="en-US"/>
        </w:rPr>
        <w:t xml:space="preserve"> (page 18)</w:t>
      </w:r>
    </w:p>
    <w:p w:rsidR="001C1F8F" w:rsidRDefault="001C1F8F" w:rsidP="00467D12">
      <w:pPr>
        <w:pStyle w:val="ListParagraph"/>
        <w:numPr>
          <w:ilvl w:val="0"/>
          <w:numId w:val="8"/>
        </w:numPr>
        <w:rPr>
          <w:lang w:val="en-US"/>
        </w:rPr>
      </w:pPr>
      <w:r>
        <w:rPr>
          <w:lang w:val="en-US"/>
        </w:rPr>
        <w:t>Observations from reports submitted in fall 2019 (page 23)</w:t>
      </w:r>
    </w:p>
    <w:p w:rsidR="00467D12" w:rsidRPr="000D0E1F" w:rsidRDefault="00467D12" w:rsidP="000D0E1F">
      <w:pPr>
        <w:rPr>
          <w:lang w:val="en-US"/>
        </w:rPr>
      </w:pPr>
    </w:p>
    <w:p w:rsidR="00A46CAC" w:rsidRPr="00467D12" w:rsidRDefault="00A46CAC" w:rsidP="00467D12">
      <w:pPr>
        <w:pStyle w:val="ListParagraph"/>
        <w:numPr>
          <w:ilvl w:val="0"/>
          <w:numId w:val="9"/>
        </w:numPr>
        <w:rPr>
          <w:lang w:val="en-US"/>
        </w:rPr>
      </w:pPr>
      <w:r w:rsidRPr="00467D12">
        <w:rPr>
          <w:b/>
          <w:lang w:val="en-US"/>
        </w:rPr>
        <w:t>Grading</w:t>
      </w:r>
    </w:p>
    <w:p w:rsidR="00A46CAC" w:rsidRDefault="00A46CAC" w:rsidP="00A46CAC">
      <w:pPr>
        <w:rPr>
          <w:lang w:val="en-US"/>
        </w:rPr>
      </w:pPr>
      <w:r>
        <w:rPr>
          <w:lang w:val="en-US"/>
        </w:rPr>
        <w:t xml:space="preserve">The project was originally worth 25 points </w:t>
      </w:r>
      <w:r w:rsidR="00467D12">
        <w:rPr>
          <w:lang w:val="en-US"/>
        </w:rPr>
        <w:t>of which 3 points was for the proposal.  The whole project</w:t>
      </w:r>
      <w:r>
        <w:rPr>
          <w:lang w:val="en-US"/>
        </w:rPr>
        <w:t xml:space="preserve"> is now worth 35 points</w:t>
      </w:r>
      <w:r w:rsidR="00467D12">
        <w:rPr>
          <w:lang w:val="en-US"/>
        </w:rPr>
        <w:t xml:space="preserve"> but we will keep the proposal value at 3 points</w:t>
      </w:r>
      <w:r>
        <w:rPr>
          <w:lang w:val="en-US"/>
        </w:rPr>
        <w:t xml:space="preserve">.  The </w:t>
      </w:r>
      <w:r w:rsidR="00467D12">
        <w:rPr>
          <w:lang w:val="en-US"/>
        </w:rPr>
        <w:t xml:space="preserve">remaining 32 </w:t>
      </w:r>
      <w:r>
        <w:rPr>
          <w:lang w:val="en-US"/>
        </w:rPr>
        <w:t>points being allocated as follows:</w:t>
      </w:r>
    </w:p>
    <w:tbl>
      <w:tblPr>
        <w:tblStyle w:val="TableGrid"/>
        <w:tblW w:w="0" w:type="auto"/>
        <w:tblLook w:val="04A0" w:firstRow="1" w:lastRow="0" w:firstColumn="1" w:lastColumn="0" w:noHBand="0" w:noVBand="1"/>
      </w:tblPr>
      <w:tblGrid>
        <w:gridCol w:w="3595"/>
        <w:gridCol w:w="2638"/>
        <w:gridCol w:w="3117"/>
      </w:tblGrid>
      <w:tr w:rsidR="00A46CAC" w:rsidTr="00A46CAC">
        <w:tc>
          <w:tcPr>
            <w:tcW w:w="3595" w:type="dxa"/>
          </w:tcPr>
          <w:p w:rsidR="00A46CAC" w:rsidRDefault="00A46CAC" w:rsidP="00A46CAC">
            <w:pPr>
              <w:rPr>
                <w:lang w:val="en-US"/>
              </w:rPr>
            </w:pPr>
            <w:bookmarkStart w:id="1" w:name="_Hlk36028185"/>
          </w:p>
        </w:tc>
        <w:tc>
          <w:tcPr>
            <w:tcW w:w="2638" w:type="dxa"/>
          </w:tcPr>
          <w:p w:rsidR="00A46CAC" w:rsidRDefault="00A46CAC" w:rsidP="00A46CAC">
            <w:pPr>
              <w:jc w:val="center"/>
              <w:rPr>
                <w:lang w:val="en-US"/>
              </w:rPr>
            </w:pPr>
            <w:r>
              <w:rPr>
                <w:lang w:val="en-US"/>
              </w:rPr>
              <w:t>Original points</w:t>
            </w:r>
          </w:p>
        </w:tc>
        <w:tc>
          <w:tcPr>
            <w:tcW w:w="3117" w:type="dxa"/>
          </w:tcPr>
          <w:p w:rsidR="00A46CAC" w:rsidRDefault="00A46CAC" w:rsidP="00A46CAC">
            <w:pPr>
              <w:jc w:val="center"/>
              <w:rPr>
                <w:lang w:val="en-US"/>
              </w:rPr>
            </w:pPr>
            <w:r>
              <w:rPr>
                <w:lang w:val="en-US"/>
              </w:rPr>
              <w:t>Revised points</w:t>
            </w:r>
          </w:p>
        </w:tc>
      </w:tr>
      <w:tr w:rsidR="00A46CAC" w:rsidTr="00A46CAC">
        <w:tc>
          <w:tcPr>
            <w:tcW w:w="3595" w:type="dxa"/>
          </w:tcPr>
          <w:p w:rsidR="00A46CAC" w:rsidRDefault="00A46CAC" w:rsidP="00A46CAC">
            <w:pPr>
              <w:rPr>
                <w:lang w:val="en-US"/>
              </w:rPr>
            </w:pPr>
            <w:r>
              <w:rPr>
                <w:lang w:val="en-US"/>
              </w:rPr>
              <w:t>Problem Statement</w:t>
            </w:r>
          </w:p>
        </w:tc>
        <w:tc>
          <w:tcPr>
            <w:tcW w:w="2638" w:type="dxa"/>
          </w:tcPr>
          <w:p w:rsidR="00A46CAC" w:rsidRDefault="00A46CAC" w:rsidP="00A46CAC">
            <w:pPr>
              <w:jc w:val="center"/>
              <w:rPr>
                <w:lang w:val="en-US"/>
              </w:rPr>
            </w:pPr>
            <w:r>
              <w:rPr>
                <w:lang w:val="en-US"/>
              </w:rPr>
              <w:t>2</w:t>
            </w:r>
          </w:p>
        </w:tc>
        <w:tc>
          <w:tcPr>
            <w:tcW w:w="3117" w:type="dxa"/>
          </w:tcPr>
          <w:p w:rsidR="00A46CAC" w:rsidRDefault="00A46CAC" w:rsidP="00A46CAC">
            <w:pPr>
              <w:jc w:val="center"/>
              <w:rPr>
                <w:lang w:val="en-US"/>
              </w:rPr>
            </w:pPr>
            <w:r>
              <w:rPr>
                <w:lang w:val="en-US"/>
              </w:rPr>
              <w:t>3</w:t>
            </w:r>
          </w:p>
        </w:tc>
      </w:tr>
      <w:tr w:rsidR="00A46CAC" w:rsidTr="00A46CAC">
        <w:tc>
          <w:tcPr>
            <w:tcW w:w="3595" w:type="dxa"/>
          </w:tcPr>
          <w:p w:rsidR="00A46CAC" w:rsidRDefault="00A46CAC" w:rsidP="00A46CAC">
            <w:pPr>
              <w:rPr>
                <w:lang w:val="en-US"/>
              </w:rPr>
            </w:pPr>
            <w:r>
              <w:rPr>
                <w:lang w:val="en-US"/>
              </w:rPr>
              <w:t>Data selection and quality</w:t>
            </w:r>
          </w:p>
        </w:tc>
        <w:tc>
          <w:tcPr>
            <w:tcW w:w="2638" w:type="dxa"/>
          </w:tcPr>
          <w:p w:rsidR="00A46CAC" w:rsidRDefault="00A46CAC" w:rsidP="00A46CAC">
            <w:pPr>
              <w:jc w:val="center"/>
              <w:rPr>
                <w:lang w:val="en-US"/>
              </w:rPr>
            </w:pPr>
            <w:r>
              <w:rPr>
                <w:lang w:val="en-US"/>
              </w:rPr>
              <w:t>3</w:t>
            </w:r>
          </w:p>
        </w:tc>
        <w:tc>
          <w:tcPr>
            <w:tcW w:w="3117" w:type="dxa"/>
          </w:tcPr>
          <w:p w:rsidR="00A46CAC" w:rsidRDefault="00A46CAC" w:rsidP="00A46CAC">
            <w:pPr>
              <w:jc w:val="center"/>
              <w:rPr>
                <w:lang w:val="en-US"/>
              </w:rPr>
            </w:pPr>
            <w:r>
              <w:rPr>
                <w:lang w:val="en-US"/>
              </w:rPr>
              <w:t>5</w:t>
            </w:r>
          </w:p>
        </w:tc>
      </w:tr>
      <w:tr w:rsidR="00A46CAC" w:rsidTr="00A46CAC">
        <w:tc>
          <w:tcPr>
            <w:tcW w:w="3595" w:type="dxa"/>
          </w:tcPr>
          <w:p w:rsidR="00A46CAC" w:rsidRDefault="00A46CAC" w:rsidP="00A46CAC">
            <w:pPr>
              <w:rPr>
                <w:lang w:val="en-US"/>
              </w:rPr>
            </w:pPr>
            <w:r>
              <w:rPr>
                <w:lang w:val="en-US"/>
              </w:rPr>
              <w:t>Analysis</w:t>
            </w:r>
          </w:p>
        </w:tc>
        <w:tc>
          <w:tcPr>
            <w:tcW w:w="2638" w:type="dxa"/>
          </w:tcPr>
          <w:p w:rsidR="00A46CAC" w:rsidRDefault="00A46CAC" w:rsidP="00A46CAC">
            <w:pPr>
              <w:jc w:val="center"/>
              <w:rPr>
                <w:lang w:val="en-US"/>
              </w:rPr>
            </w:pPr>
            <w:r>
              <w:rPr>
                <w:lang w:val="en-US"/>
              </w:rPr>
              <w:t>9</w:t>
            </w:r>
          </w:p>
        </w:tc>
        <w:tc>
          <w:tcPr>
            <w:tcW w:w="3117" w:type="dxa"/>
          </w:tcPr>
          <w:p w:rsidR="00A46CAC" w:rsidRDefault="00A46CAC" w:rsidP="00A46CAC">
            <w:pPr>
              <w:jc w:val="center"/>
              <w:rPr>
                <w:lang w:val="en-US"/>
              </w:rPr>
            </w:pPr>
            <w:r>
              <w:rPr>
                <w:lang w:val="en-US"/>
              </w:rPr>
              <w:t>13</w:t>
            </w:r>
          </w:p>
        </w:tc>
      </w:tr>
      <w:tr w:rsidR="00A46CAC" w:rsidTr="00A46CAC">
        <w:tc>
          <w:tcPr>
            <w:tcW w:w="3595" w:type="dxa"/>
          </w:tcPr>
          <w:p w:rsidR="00A46CAC" w:rsidRDefault="00A46CAC" w:rsidP="00A46CAC">
            <w:pPr>
              <w:rPr>
                <w:lang w:val="en-US"/>
              </w:rPr>
            </w:pPr>
            <w:r>
              <w:rPr>
                <w:lang w:val="en-US"/>
              </w:rPr>
              <w:t>Conclusions</w:t>
            </w:r>
          </w:p>
        </w:tc>
        <w:tc>
          <w:tcPr>
            <w:tcW w:w="2638" w:type="dxa"/>
          </w:tcPr>
          <w:p w:rsidR="00A46CAC" w:rsidRDefault="00A46CAC" w:rsidP="00A46CAC">
            <w:pPr>
              <w:jc w:val="center"/>
              <w:rPr>
                <w:lang w:val="en-US"/>
              </w:rPr>
            </w:pPr>
            <w:r>
              <w:rPr>
                <w:lang w:val="en-US"/>
              </w:rPr>
              <w:t>3</w:t>
            </w:r>
          </w:p>
        </w:tc>
        <w:tc>
          <w:tcPr>
            <w:tcW w:w="3117" w:type="dxa"/>
          </w:tcPr>
          <w:p w:rsidR="00A46CAC" w:rsidRDefault="00A46CAC" w:rsidP="00A46CAC">
            <w:pPr>
              <w:jc w:val="center"/>
              <w:rPr>
                <w:lang w:val="en-US"/>
              </w:rPr>
            </w:pPr>
            <w:r>
              <w:rPr>
                <w:lang w:val="en-US"/>
              </w:rPr>
              <w:t>5</w:t>
            </w:r>
          </w:p>
        </w:tc>
      </w:tr>
      <w:tr w:rsidR="00A46CAC" w:rsidTr="00A46CAC">
        <w:tc>
          <w:tcPr>
            <w:tcW w:w="3595" w:type="dxa"/>
          </w:tcPr>
          <w:p w:rsidR="00A46CAC" w:rsidRDefault="00A46CAC" w:rsidP="00A46CAC">
            <w:pPr>
              <w:rPr>
                <w:lang w:val="en-US"/>
              </w:rPr>
            </w:pPr>
            <w:r>
              <w:rPr>
                <w:lang w:val="en-US"/>
              </w:rPr>
              <w:t>Cohesion, persuasiveness and clarity</w:t>
            </w:r>
          </w:p>
        </w:tc>
        <w:tc>
          <w:tcPr>
            <w:tcW w:w="2638" w:type="dxa"/>
          </w:tcPr>
          <w:p w:rsidR="00A46CAC" w:rsidRDefault="00A46CAC" w:rsidP="00A46CAC">
            <w:pPr>
              <w:jc w:val="center"/>
              <w:rPr>
                <w:lang w:val="en-US"/>
              </w:rPr>
            </w:pPr>
            <w:r>
              <w:rPr>
                <w:lang w:val="en-US"/>
              </w:rPr>
              <w:t>5</w:t>
            </w:r>
          </w:p>
        </w:tc>
        <w:tc>
          <w:tcPr>
            <w:tcW w:w="3117" w:type="dxa"/>
          </w:tcPr>
          <w:p w:rsidR="00A46CAC" w:rsidRDefault="00A46CAC" w:rsidP="00A46CAC">
            <w:pPr>
              <w:jc w:val="center"/>
              <w:rPr>
                <w:lang w:val="en-US"/>
              </w:rPr>
            </w:pPr>
            <w:r>
              <w:rPr>
                <w:lang w:val="en-US"/>
              </w:rPr>
              <w:t>6</w:t>
            </w:r>
          </w:p>
        </w:tc>
      </w:tr>
      <w:bookmarkEnd w:id="1"/>
    </w:tbl>
    <w:p w:rsidR="00A46CAC" w:rsidRDefault="00A46CAC" w:rsidP="00A46CAC">
      <w:pPr>
        <w:rPr>
          <w:lang w:val="en-US"/>
        </w:rPr>
      </w:pPr>
    </w:p>
    <w:p w:rsidR="00737C4C" w:rsidRDefault="00737C4C">
      <w:pPr>
        <w:rPr>
          <w:lang w:val="en-US"/>
        </w:rPr>
      </w:pPr>
      <w:r>
        <w:rPr>
          <w:lang w:val="en-US"/>
        </w:rPr>
        <w:br w:type="page"/>
      </w:r>
    </w:p>
    <w:p w:rsidR="00335BAA" w:rsidRDefault="00467D12" w:rsidP="00335BAA">
      <w:pPr>
        <w:rPr>
          <w:lang w:val="en-US"/>
        </w:rPr>
      </w:pPr>
      <w:r>
        <w:rPr>
          <w:lang w:val="en-US"/>
        </w:rPr>
        <w:lastRenderedPageBreak/>
        <w:t>In awarding points,</w:t>
      </w:r>
      <w:r w:rsidR="00335BAA">
        <w:rPr>
          <w:lang w:val="en-US"/>
        </w:rPr>
        <w:t xml:space="preserve"> we will follow the guidelines below:</w:t>
      </w:r>
    </w:p>
    <w:tbl>
      <w:tblPr>
        <w:tblStyle w:val="TableGrid"/>
        <w:tblW w:w="0" w:type="auto"/>
        <w:tblLook w:val="04A0" w:firstRow="1" w:lastRow="0" w:firstColumn="1" w:lastColumn="0" w:noHBand="0" w:noVBand="1"/>
      </w:tblPr>
      <w:tblGrid>
        <w:gridCol w:w="1525"/>
        <w:gridCol w:w="2880"/>
        <w:gridCol w:w="2700"/>
        <w:gridCol w:w="2245"/>
      </w:tblGrid>
      <w:tr w:rsidR="00467D12" w:rsidTr="00543D5C">
        <w:tc>
          <w:tcPr>
            <w:tcW w:w="1525" w:type="dxa"/>
          </w:tcPr>
          <w:p w:rsidR="00467D12" w:rsidRDefault="00467D12" w:rsidP="00A46CAC">
            <w:pPr>
              <w:rPr>
                <w:lang w:val="en-US"/>
              </w:rPr>
            </w:pPr>
          </w:p>
        </w:tc>
        <w:tc>
          <w:tcPr>
            <w:tcW w:w="2880" w:type="dxa"/>
          </w:tcPr>
          <w:p w:rsidR="00467D12" w:rsidRDefault="009046CB" w:rsidP="00A46CAC">
            <w:pPr>
              <w:rPr>
                <w:lang w:val="en-US"/>
              </w:rPr>
            </w:pPr>
            <w:r>
              <w:rPr>
                <w:lang w:val="en-US"/>
              </w:rPr>
              <w:t>Excellent</w:t>
            </w:r>
          </w:p>
        </w:tc>
        <w:tc>
          <w:tcPr>
            <w:tcW w:w="2700" w:type="dxa"/>
          </w:tcPr>
          <w:p w:rsidR="00467D12" w:rsidRDefault="009046CB" w:rsidP="00A46CAC">
            <w:pPr>
              <w:rPr>
                <w:lang w:val="en-US"/>
              </w:rPr>
            </w:pPr>
            <w:r>
              <w:rPr>
                <w:lang w:val="en-US"/>
              </w:rPr>
              <w:t>Satisfactory</w:t>
            </w:r>
          </w:p>
        </w:tc>
        <w:tc>
          <w:tcPr>
            <w:tcW w:w="2245" w:type="dxa"/>
          </w:tcPr>
          <w:p w:rsidR="00467D12" w:rsidRDefault="009046CB" w:rsidP="00A46CAC">
            <w:pPr>
              <w:rPr>
                <w:lang w:val="en-US"/>
              </w:rPr>
            </w:pPr>
            <w:r>
              <w:rPr>
                <w:lang w:val="en-US"/>
              </w:rPr>
              <w:t>Poor</w:t>
            </w:r>
          </w:p>
        </w:tc>
      </w:tr>
      <w:tr w:rsidR="00467D12" w:rsidTr="00543D5C">
        <w:tc>
          <w:tcPr>
            <w:tcW w:w="1525" w:type="dxa"/>
          </w:tcPr>
          <w:p w:rsidR="00467D12" w:rsidRPr="00461B31" w:rsidRDefault="009046CB" w:rsidP="00A46CAC">
            <w:pPr>
              <w:rPr>
                <w:sz w:val="20"/>
                <w:lang w:val="en-US"/>
              </w:rPr>
            </w:pPr>
            <w:r w:rsidRPr="00461B31">
              <w:rPr>
                <w:sz w:val="20"/>
                <w:lang w:val="en-US"/>
              </w:rPr>
              <w:t>Problem Statement</w:t>
            </w:r>
          </w:p>
        </w:tc>
        <w:tc>
          <w:tcPr>
            <w:tcW w:w="2880" w:type="dxa"/>
          </w:tcPr>
          <w:p w:rsidR="00467D12" w:rsidRDefault="009046CB" w:rsidP="00A46CAC">
            <w:pPr>
              <w:rPr>
                <w:lang w:val="en-US"/>
              </w:rPr>
            </w:pPr>
            <w:r>
              <w:rPr>
                <w:b/>
                <w:lang w:val="en-US"/>
              </w:rPr>
              <w:t>3 points</w:t>
            </w:r>
          </w:p>
          <w:p w:rsidR="009046CB" w:rsidRDefault="00461B31" w:rsidP="00A46CAC">
            <w:pPr>
              <w:rPr>
                <w:i/>
                <w:sz w:val="20"/>
                <w:lang w:val="en-US"/>
              </w:rPr>
            </w:pPr>
            <w:r>
              <w:rPr>
                <w:i/>
                <w:sz w:val="20"/>
                <w:lang w:val="en-US"/>
              </w:rPr>
              <w:t>Clear, specific objectives</w:t>
            </w:r>
          </w:p>
          <w:p w:rsidR="00461B31" w:rsidRDefault="00461B31" w:rsidP="00A46CAC">
            <w:pPr>
              <w:rPr>
                <w:i/>
                <w:sz w:val="20"/>
                <w:lang w:val="en-US"/>
              </w:rPr>
            </w:pPr>
            <w:r>
              <w:rPr>
                <w:i/>
                <w:sz w:val="20"/>
                <w:lang w:val="en-US"/>
              </w:rPr>
              <w:t>Explanation of why study</w:t>
            </w:r>
          </w:p>
          <w:p w:rsidR="00461B31" w:rsidRPr="00461B31" w:rsidRDefault="00461B31" w:rsidP="00A46CAC">
            <w:pPr>
              <w:rPr>
                <w:i/>
                <w:sz w:val="20"/>
                <w:lang w:val="en-US"/>
              </w:rPr>
            </w:pPr>
            <w:r>
              <w:rPr>
                <w:i/>
                <w:sz w:val="20"/>
                <w:lang w:val="en-US"/>
              </w:rPr>
              <w:t>List of specific research questions that fit objective</w:t>
            </w:r>
          </w:p>
        </w:tc>
        <w:tc>
          <w:tcPr>
            <w:tcW w:w="2700" w:type="dxa"/>
          </w:tcPr>
          <w:p w:rsidR="00467D12" w:rsidRDefault="009046CB" w:rsidP="00A46CAC">
            <w:pPr>
              <w:rPr>
                <w:lang w:val="en-US"/>
              </w:rPr>
            </w:pPr>
            <w:r>
              <w:rPr>
                <w:b/>
                <w:lang w:val="en-US"/>
              </w:rPr>
              <w:t>2 points</w:t>
            </w:r>
          </w:p>
          <w:p w:rsidR="00461B31" w:rsidRDefault="00461B31" w:rsidP="00A46CAC">
            <w:pPr>
              <w:rPr>
                <w:i/>
                <w:sz w:val="20"/>
                <w:lang w:val="en-US"/>
              </w:rPr>
            </w:pPr>
            <w:r>
              <w:rPr>
                <w:i/>
                <w:sz w:val="20"/>
                <w:lang w:val="en-US"/>
              </w:rPr>
              <w:t>Specific objective</w:t>
            </w:r>
          </w:p>
          <w:p w:rsidR="00461B31" w:rsidRDefault="00461B31" w:rsidP="00A46CAC">
            <w:pPr>
              <w:rPr>
                <w:i/>
                <w:sz w:val="20"/>
                <w:lang w:val="en-US"/>
              </w:rPr>
            </w:pPr>
            <w:r>
              <w:rPr>
                <w:i/>
                <w:sz w:val="20"/>
                <w:lang w:val="en-US"/>
              </w:rPr>
              <w:t>Not clear why study</w:t>
            </w:r>
          </w:p>
          <w:p w:rsidR="00461B31" w:rsidRPr="00461B31" w:rsidRDefault="00461B31" w:rsidP="00A46CAC">
            <w:pPr>
              <w:rPr>
                <w:i/>
                <w:sz w:val="20"/>
                <w:lang w:val="en-US"/>
              </w:rPr>
            </w:pPr>
            <w:r>
              <w:rPr>
                <w:i/>
                <w:sz w:val="20"/>
                <w:lang w:val="en-US"/>
              </w:rPr>
              <w:t>Question list incomplete or disconnect with objective</w:t>
            </w:r>
          </w:p>
        </w:tc>
        <w:tc>
          <w:tcPr>
            <w:tcW w:w="2245" w:type="dxa"/>
          </w:tcPr>
          <w:p w:rsidR="00467D12" w:rsidRPr="00461B31" w:rsidRDefault="00461B31" w:rsidP="009046CB">
            <w:pPr>
              <w:pStyle w:val="ListParagraph"/>
              <w:numPr>
                <w:ilvl w:val="1"/>
                <w:numId w:val="10"/>
              </w:numPr>
              <w:rPr>
                <w:lang w:val="en-US"/>
              </w:rPr>
            </w:pPr>
            <w:r w:rsidRPr="009046CB">
              <w:rPr>
                <w:b/>
                <w:lang w:val="en-US"/>
              </w:rPr>
              <w:t>P</w:t>
            </w:r>
            <w:r w:rsidR="009046CB" w:rsidRPr="009046CB">
              <w:rPr>
                <w:b/>
                <w:lang w:val="en-US"/>
              </w:rPr>
              <w:t>oint</w:t>
            </w:r>
          </w:p>
          <w:p w:rsidR="00461B31" w:rsidRDefault="00461B31" w:rsidP="00461B31">
            <w:pPr>
              <w:rPr>
                <w:i/>
                <w:sz w:val="20"/>
                <w:lang w:val="en-US"/>
              </w:rPr>
            </w:pPr>
            <w:r>
              <w:rPr>
                <w:i/>
                <w:sz w:val="20"/>
                <w:lang w:val="en-US"/>
              </w:rPr>
              <w:t>Objective not clear</w:t>
            </w:r>
          </w:p>
          <w:p w:rsidR="00461B31" w:rsidRDefault="00461B31" w:rsidP="00461B31">
            <w:pPr>
              <w:rPr>
                <w:i/>
                <w:sz w:val="20"/>
                <w:lang w:val="en-US"/>
              </w:rPr>
            </w:pPr>
            <w:r>
              <w:rPr>
                <w:i/>
                <w:sz w:val="20"/>
                <w:lang w:val="en-US"/>
              </w:rPr>
              <w:t>No rationale</w:t>
            </w:r>
          </w:p>
          <w:p w:rsidR="00461B31" w:rsidRPr="00461B31" w:rsidRDefault="00461B31" w:rsidP="00461B31">
            <w:pPr>
              <w:rPr>
                <w:i/>
                <w:sz w:val="20"/>
                <w:lang w:val="en-US"/>
              </w:rPr>
            </w:pPr>
            <w:r>
              <w:rPr>
                <w:i/>
                <w:sz w:val="20"/>
                <w:lang w:val="en-US"/>
              </w:rPr>
              <w:t>Poor list or no list</w:t>
            </w:r>
          </w:p>
          <w:p w:rsidR="009046CB" w:rsidRPr="009046CB" w:rsidRDefault="009046CB" w:rsidP="009046CB">
            <w:pPr>
              <w:rPr>
                <w:lang w:val="en-US"/>
              </w:rPr>
            </w:pPr>
          </w:p>
        </w:tc>
      </w:tr>
      <w:tr w:rsidR="009046CB" w:rsidTr="00543D5C">
        <w:tc>
          <w:tcPr>
            <w:tcW w:w="1525" w:type="dxa"/>
          </w:tcPr>
          <w:p w:rsidR="009046CB" w:rsidRPr="00461B31" w:rsidRDefault="009046CB" w:rsidP="00A46CAC">
            <w:pPr>
              <w:rPr>
                <w:sz w:val="20"/>
                <w:lang w:val="en-US"/>
              </w:rPr>
            </w:pPr>
            <w:r w:rsidRPr="00461B31">
              <w:rPr>
                <w:sz w:val="20"/>
                <w:lang w:val="en-US"/>
              </w:rPr>
              <w:t xml:space="preserve">Data Selection and </w:t>
            </w:r>
            <w:r w:rsidR="00700CAB" w:rsidRPr="00461B31">
              <w:rPr>
                <w:sz w:val="20"/>
                <w:lang w:val="en-US"/>
              </w:rPr>
              <w:t>Q</w:t>
            </w:r>
            <w:r w:rsidRPr="00461B31">
              <w:rPr>
                <w:sz w:val="20"/>
                <w:lang w:val="en-US"/>
              </w:rPr>
              <w:t>uality</w:t>
            </w:r>
          </w:p>
        </w:tc>
        <w:tc>
          <w:tcPr>
            <w:tcW w:w="2880" w:type="dxa"/>
          </w:tcPr>
          <w:p w:rsidR="009046CB" w:rsidRPr="00737C4C" w:rsidRDefault="00737C4C" w:rsidP="00A46CAC">
            <w:pPr>
              <w:rPr>
                <w:b/>
                <w:lang w:val="en-US"/>
              </w:rPr>
            </w:pPr>
            <w:r w:rsidRPr="00737C4C">
              <w:rPr>
                <w:b/>
                <w:lang w:val="en-US"/>
              </w:rPr>
              <w:t>5 points</w:t>
            </w:r>
          </w:p>
          <w:p w:rsidR="00737C4C" w:rsidRDefault="00D33657" w:rsidP="00A46CAC">
            <w:pPr>
              <w:rPr>
                <w:i/>
                <w:sz w:val="20"/>
                <w:lang w:val="en-US"/>
              </w:rPr>
            </w:pPr>
            <w:r>
              <w:rPr>
                <w:i/>
                <w:sz w:val="20"/>
                <w:lang w:val="en-US"/>
              </w:rPr>
              <w:t>Data source identified</w:t>
            </w:r>
          </w:p>
          <w:p w:rsidR="00D33657" w:rsidRDefault="00D33657" w:rsidP="00A46CAC">
            <w:pPr>
              <w:rPr>
                <w:i/>
                <w:sz w:val="20"/>
                <w:lang w:val="en-US"/>
              </w:rPr>
            </w:pPr>
            <w:r>
              <w:rPr>
                <w:i/>
                <w:sz w:val="20"/>
                <w:lang w:val="en-US"/>
              </w:rPr>
              <w:t>Data is related to questions</w:t>
            </w:r>
          </w:p>
          <w:p w:rsidR="00D33657" w:rsidRDefault="00D33657" w:rsidP="00A46CAC">
            <w:pPr>
              <w:rPr>
                <w:i/>
                <w:sz w:val="20"/>
                <w:lang w:val="en-US"/>
              </w:rPr>
            </w:pPr>
            <w:r>
              <w:rPr>
                <w:i/>
                <w:sz w:val="20"/>
                <w:lang w:val="en-US"/>
              </w:rPr>
              <w:t>Limitations noted on what can be generalized – clear who is being studied</w:t>
            </w:r>
          </w:p>
          <w:p w:rsidR="00D33657" w:rsidRDefault="00D33657" w:rsidP="00A46CAC">
            <w:pPr>
              <w:rPr>
                <w:i/>
                <w:sz w:val="20"/>
                <w:lang w:val="en-US"/>
              </w:rPr>
            </w:pPr>
            <w:r>
              <w:rPr>
                <w:i/>
                <w:sz w:val="20"/>
                <w:lang w:val="en-US"/>
              </w:rPr>
              <w:t>Data problems with missing values and outliers identified</w:t>
            </w:r>
          </w:p>
          <w:p w:rsidR="00D33657" w:rsidRPr="00461B31" w:rsidRDefault="00D33657" w:rsidP="00D33657">
            <w:pPr>
              <w:rPr>
                <w:i/>
                <w:sz w:val="20"/>
                <w:lang w:val="en-US"/>
              </w:rPr>
            </w:pPr>
            <w:r>
              <w:rPr>
                <w:i/>
                <w:sz w:val="20"/>
                <w:lang w:val="en-US"/>
              </w:rPr>
              <w:t>Data cleaning steps explained</w:t>
            </w:r>
          </w:p>
        </w:tc>
        <w:tc>
          <w:tcPr>
            <w:tcW w:w="2700" w:type="dxa"/>
          </w:tcPr>
          <w:p w:rsidR="009046CB" w:rsidRDefault="00737C4C" w:rsidP="00A46CAC">
            <w:pPr>
              <w:rPr>
                <w:lang w:val="en-US"/>
              </w:rPr>
            </w:pPr>
            <w:r>
              <w:rPr>
                <w:b/>
                <w:lang w:val="en-US"/>
              </w:rPr>
              <w:t>3-4 points</w:t>
            </w:r>
          </w:p>
          <w:p w:rsidR="00737C4C" w:rsidRDefault="00D33657" w:rsidP="00A46CAC">
            <w:pPr>
              <w:rPr>
                <w:i/>
                <w:sz w:val="20"/>
                <w:lang w:val="en-US"/>
              </w:rPr>
            </w:pPr>
            <w:r>
              <w:rPr>
                <w:i/>
                <w:sz w:val="20"/>
                <w:lang w:val="en-US"/>
              </w:rPr>
              <w:t>Data source identified</w:t>
            </w:r>
          </w:p>
          <w:p w:rsidR="00D33657" w:rsidRDefault="00D33657" w:rsidP="00A46CAC">
            <w:pPr>
              <w:rPr>
                <w:i/>
                <w:sz w:val="20"/>
                <w:lang w:val="en-US"/>
              </w:rPr>
            </w:pPr>
            <w:r>
              <w:rPr>
                <w:i/>
                <w:sz w:val="20"/>
                <w:lang w:val="en-US"/>
              </w:rPr>
              <w:t>Data relevant to questions</w:t>
            </w:r>
          </w:p>
          <w:p w:rsidR="00D33657" w:rsidRDefault="00D33657" w:rsidP="00A46CAC">
            <w:pPr>
              <w:rPr>
                <w:i/>
                <w:sz w:val="20"/>
                <w:lang w:val="en-US"/>
              </w:rPr>
            </w:pPr>
            <w:r>
              <w:rPr>
                <w:i/>
                <w:sz w:val="20"/>
                <w:lang w:val="en-US"/>
              </w:rPr>
              <w:t>Some discussion on limitations</w:t>
            </w:r>
          </w:p>
          <w:p w:rsidR="00D33657" w:rsidRPr="00D33657" w:rsidRDefault="00D33657" w:rsidP="00A46CAC">
            <w:pPr>
              <w:rPr>
                <w:i/>
                <w:sz w:val="20"/>
                <w:lang w:val="en-US"/>
              </w:rPr>
            </w:pPr>
            <w:r>
              <w:rPr>
                <w:i/>
                <w:sz w:val="20"/>
                <w:lang w:val="en-US"/>
              </w:rPr>
              <w:t>Some data quality problems identified</w:t>
            </w:r>
          </w:p>
        </w:tc>
        <w:tc>
          <w:tcPr>
            <w:tcW w:w="2245" w:type="dxa"/>
          </w:tcPr>
          <w:p w:rsidR="009046CB" w:rsidRPr="00737C4C" w:rsidRDefault="00737C4C" w:rsidP="00737C4C">
            <w:pPr>
              <w:pStyle w:val="ListParagraph"/>
              <w:numPr>
                <w:ilvl w:val="1"/>
                <w:numId w:val="10"/>
              </w:numPr>
              <w:rPr>
                <w:lang w:val="en-US"/>
              </w:rPr>
            </w:pPr>
            <w:r w:rsidRPr="00737C4C">
              <w:rPr>
                <w:b/>
                <w:lang w:val="en-US"/>
              </w:rPr>
              <w:t>points</w:t>
            </w:r>
          </w:p>
          <w:p w:rsidR="00737C4C" w:rsidRDefault="00D33657" w:rsidP="00737C4C">
            <w:pPr>
              <w:rPr>
                <w:i/>
                <w:sz w:val="20"/>
                <w:lang w:val="en-US"/>
              </w:rPr>
            </w:pPr>
            <w:r>
              <w:rPr>
                <w:i/>
                <w:sz w:val="20"/>
                <w:lang w:val="en-US"/>
              </w:rPr>
              <w:t>data source unclear</w:t>
            </w:r>
          </w:p>
          <w:p w:rsidR="00D33657" w:rsidRDefault="00D33657" w:rsidP="00737C4C">
            <w:pPr>
              <w:rPr>
                <w:i/>
                <w:sz w:val="20"/>
                <w:lang w:val="en-US"/>
              </w:rPr>
            </w:pPr>
            <w:r>
              <w:rPr>
                <w:i/>
                <w:sz w:val="20"/>
                <w:lang w:val="en-US"/>
              </w:rPr>
              <w:t>data does not appear linked to questions</w:t>
            </w:r>
          </w:p>
          <w:p w:rsidR="00D33657" w:rsidRDefault="00D33657" w:rsidP="00737C4C">
            <w:pPr>
              <w:rPr>
                <w:i/>
                <w:sz w:val="20"/>
                <w:lang w:val="en-US"/>
              </w:rPr>
            </w:pPr>
            <w:r>
              <w:rPr>
                <w:i/>
                <w:sz w:val="20"/>
                <w:lang w:val="en-US"/>
              </w:rPr>
              <w:t>no limitations</w:t>
            </w:r>
          </w:p>
          <w:p w:rsidR="00D33657" w:rsidRPr="00D33657" w:rsidRDefault="00D33657" w:rsidP="00737C4C">
            <w:pPr>
              <w:rPr>
                <w:i/>
                <w:sz w:val="20"/>
                <w:lang w:val="en-US"/>
              </w:rPr>
            </w:pPr>
            <w:r>
              <w:rPr>
                <w:i/>
                <w:sz w:val="20"/>
                <w:lang w:val="en-US"/>
              </w:rPr>
              <w:t>some quality problems noted</w:t>
            </w:r>
          </w:p>
        </w:tc>
      </w:tr>
      <w:tr w:rsidR="00700CAB" w:rsidTr="00543D5C">
        <w:tc>
          <w:tcPr>
            <w:tcW w:w="1525" w:type="dxa"/>
          </w:tcPr>
          <w:p w:rsidR="00700CAB" w:rsidRPr="00461B31" w:rsidRDefault="00335BAA" w:rsidP="00A46CAC">
            <w:pPr>
              <w:rPr>
                <w:sz w:val="20"/>
                <w:lang w:val="en-US"/>
              </w:rPr>
            </w:pPr>
            <w:r w:rsidRPr="00461B31">
              <w:rPr>
                <w:sz w:val="20"/>
                <w:lang w:val="en-US"/>
              </w:rPr>
              <w:t>Analysis</w:t>
            </w:r>
          </w:p>
        </w:tc>
        <w:tc>
          <w:tcPr>
            <w:tcW w:w="2880" w:type="dxa"/>
          </w:tcPr>
          <w:p w:rsidR="00700CAB" w:rsidRDefault="00737C4C" w:rsidP="00A46CAC">
            <w:pPr>
              <w:rPr>
                <w:lang w:val="en-US"/>
              </w:rPr>
            </w:pPr>
            <w:r>
              <w:rPr>
                <w:b/>
                <w:lang w:val="en-US"/>
              </w:rPr>
              <w:t>11-13 points</w:t>
            </w:r>
          </w:p>
          <w:p w:rsidR="00737C4C" w:rsidRDefault="00D33657" w:rsidP="00A46CAC">
            <w:pPr>
              <w:rPr>
                <w:i/>
                <w:sz w:val="20"/>
                <w:lang w:val="en-US"/>
              </w:rPr>
            </w:pPr>
            <w:r>
              <w:rPr>
                <w:i/>
                <w:sz w:val="20"/>
                <w:lang w:val="en-US"/>
              </w:rPr>
              <w:t>8-10 tables/charts</w:t>
            </w:r>
          </w:p>
          <w:p w:rsidR="00D33657" w:rsidRDefault="00D33657" w:rsidP="00A46CAC">
            <w:pPr>
              <w:rPr>
                <w:i/>
                <w:sz w:val="20"/>
                <w:lang w:val="en-US"/>
              </w:rPr>
            </w:pPr>
            <w:r>
              <w:rPr>
                <w:i/>
                <w:sz w:val="20"/>
                <w:lang w:val="en-US"/>
              </w:rPr>
              <w:t>Charts are correctly interpreted</w:t>
            </w:r>
          </w:p>
          <w:p w:rsidR="00D33657" w:rsidRDefault="00D33657" w:rsidP="00A46CAC">
            <w:pPr>
              <w:rPr>
                <w:i/>
                <w:sz w:val="20"/>
                <w:lang w:val="en-US"/>
              </w:rPr>
            </w:pPr>
            <w:r>
              <w:rPr>
                <w:i/>
                <w:sz w:val="20"/>
                <w:lang w:val="en-US"/>
              </w:rPr>
              <w:t>Choice of analyses appropriate for questions</w:t>
            </w:r>
          </w:p>
          <w:p w:rsidR="00D33657" w:rsidRPr="00D33657" w:rsidRDefault="00D33657" w:rsidP="00A46CAC">
            <w:pPr>
              <w:rPr>
                <w:i/>
                <w:sz w:val="20"/>
                <w:lang w:val="en-US"/>
              </w:rPr>
            </w:pPr>
            <w:r>
              <w:rPr>
                <w:i/>
                <w:sz w:val="20"/>
                <w:lang w:val="en-US"/>
              </w:rPr>
              <w:t>Logical sequence to analysis</w:t>
            </w:r>
          </w:p>
        </w:tc>
        <w:tc>
          <w:tcPr>
            <w:tcW w:w="2700" w:type="dxa"/>
          </w:tcPr>
          <w:p w:rsidR="00700CAB" w:rsidRDefault="00737C4C" w:rsidP="00A46CAC">
            <w:pPr>
              <w:rPr>
                <w:b/>
                <w:lang w:val="en-US"/>
              </w:rPr>
            </w:pPr>
            <w:r>
              <w:rPr>
                <w:b/>
                <w:lang w:val="en-US"/>
              </w:rPr>
              <w:t>7-10 points</w:t>
            </w:r>
          </w:p>
          <w:p w:rsidR="00D33657" w:rsidRDefault="00D33657" w:rsidP="00A46CAC">
            <w:pPr>
              <w:rPr>
                <w:i/>
                <w:sz w:val="20"/>
                <w:lang w:val="en-US"/>
              </w:rPr>
            </w:pPr>
            <w:r>
              <w:rPr>
                <w:i/>
                <w:sz w:val="20"/>
                <w:lang w:val="en-US"/>
              </w:rPr>
              <w:t>6-8 tables/charts</w:t>
            </w:r>
          </w:p>
          <w:p w:rsidR="00D33657" w:rsidRDefault="00D33657" w:rsidP="00A46CAC">
            <w:pPr>
              <w:rPr>
                <w:i/>
                <w:sz w:val="20"/>
                <w:lang w:val="en-US"/>
              </w:rPr>
            </w:pPr>
            <w:r>
              <w:rPr>
                <w:i/>
                <w:sz w:val="20"/>
                <w:lang w:val="en-US"/>
              </w:rPr>
              <w:t>Duplication of table with a chart</w:t>
            </w:r>
          </w:p>
          <w:p w:rsidR="00D33657" w:rsidRDefault="00D33657" w:rsidP="00A46CAC">
            <w:pPr>
              <w:rPr>
                <w:i/>
                <w:sz w:val="20"/>
                <w:lang w:val="en-US"/>
              </w:rPr>
            </w:pPr>
            <w:r>
              <w:rPr>
                <w:i/>
                <w:sz w:val="20"/>
                <w:lang w:val="en-US"/>
              </w:rPr>
              <w:t>Most are interpreted correctly</w:t>
            </w:r>
          </w:p>
          <w:p w:rsidR="00D33657" w:rsidRPr="00D33657" w:rsidRDefault="00D33657" w:rsidP="00A46CAC">
            <w:pPr>
              <w:rPr>
                <w:i/>
                <w:sz w:val="20"/>
                <w:lang w:val="en-US"/>
              </w:rPr>
            </w:pPr>
            <w:r>
              <w:rPr>
                <w:i/>
                <w:sz w:val="20"/>
                <w:lang w:val="en-US"/>
              </w:rPr>
              <w:t>Most analyses are relevant to questions</w:t>
            </w:r>
          </w:p>
        </w:tc>
        <w:tc>
          <w:tcPr>
            <w:tcW w:w="2245" w:type="dxa"/>
          </w:tcPr>
          <w:p w:rsidR="00700CAB" w:rsidRDefault="00737C4C" w:rsidP="00700CAB">
            <w:pPr>
              <w:rPr>
                <w:b/>
                <w:lang w:val="en-US"/>
              </w:rPr>
            </w:pPr>
            <w:r>
              <w:rPr>
                <w:b/>
                <w:lang w:val="en-US"/>
              </w:rPr>
              <w:t>0-6 points</w:t>
            </w:r>
          </w:p>
          <w:p w:rsidR="00D33657" w:rsidRDefault="00D33657" w:rsidP="00700CAB">
            <w:pPr>
              <w:rPr>
                <w:i/>
                <w:sz w:val="20"/>
                <w:lang w:val="en-US"/>
              </w:rPr>
            </w:pPr>
            <w:r>
              <w:rPr>
                <w:i/>
                <w:sz w:val="20"/>
                <w:lang w:val="en-US"/>
              </w:rPr>
              <w:t>4-6 charts/tables</w:t>
            </w:r>
          </w:p>
          <w:p w:rsidR="00D33657" w:rsidRDefault="00D33657" w:rsidP="00700CAB">
            <w:pPr>
              <w:rPr>
                <w:i/>
                <w:sz w:val="20"/>
                <w:lang w:val="en-US"/>
              </w:rPr>
            </w:pPr>
            <w:r>
              <w:rPr>
                <w:i/>
                <w:sz w:val="20"/>
                <w:lang w:val="en-US"/>
              </w:rPr>
              <w:t>Duplication of tables with charts</w:t>
            </w:r>
          </w:p>
          <w:p w:rsidR="00D33657" w:rsidRDefault="00D33657" w:rsidP="00700CAB">
            <w:pPr>
              <w:rPr>
                <w:i/>
                <w:sz w:val="20"/>
                <w:lang w:val="en-US"/>
              </w:rPr>
            </w:pPr>
            <w:r>
              <w:rPr>
                <w:i/>
                <w:sz w:val="20"/>
                <w:lang w:val="en-US"/>
              </w:rPr>
              <w:t>Interpretations not clear</w:t>
            </w:r>
          </w:p>
          <w:p w:rsidR="00D33657" w:rsidRPr="00D33657" w:rsidRDefault="00D33657" w:rsidP="00700CAB">
            <w:pPr>
              <w:rPr>
                <w:i/>
                <w:sz w:val="20"/>
                <w:lang w:val="en-US"/>
              </w:rPr>
            </w:pPr>
            <w:r>
              <w:rPr>
                <w:i/>
                <w:sz w:val="20"/>
                <w:lang w:val="en-US"/>
              </w:rPr>
              <w:t>Charts not all relevant to questions</w:t>
            </w:r>
          </w:p>
        </w:tc>
      </w:tr>
      <w:tr w:rsidR="00737C4C" w:rsidTr="00543D5C">
        <w:tc>
          <w:tcPr>
            <w:tcW w:w="1525" w:type="dxa"/>
          </w:tcPr>
          <w:p w:rsidR="00737C4C" w:rsidRPr="00461B31" w:rsidRDefault="00737C4C" w:rsidP="00737C4C">
            <w:pPr>
              <w:rPr>
                <w:sz w:val="20"/>
                <w:lang w:val="en-US"/>
              </w:rPr>
            </w:pPr>
            <w:r w:rsidRPr="00461B31">
              <w:rPr>
                <w:sz w:val="20"/>
                <w:lang w:val="en-US"/>
              </w:rPr>
              <w:t>Conclusions</w:t>
            </w:r>
          </w:p>
        </w:tc>
        <w:tc>
          <w:tcPr>
            <w:tcW w:w="2880" w:type="dxa"/>
          </w:tcPr>
          <w:p w:rsidR="00737C4C" w:rsidRDefault="00737C4C" w:rsidP="00737C4C">
            <w:pPr>
              <w:rPr>
                <w:lang w:val="en-US"/>
              </w:rPr>
            </w:pPr>
            <w:r>
              <w:rPr>
                <w:b/>
                <w:lang w:val="en-US"/>
              </w:rPr>
              <w:t>5 points</w:t>
            </w:r>
          </w:p>
          <w:p w:rsidR="00737C4C" w:rsidRDefault="00D33657" w:rsidP="00737C4C">
            <w:pPr>
              <w:rPr>
                <w:i/>
                <w:sz w:val="20"/>
                <w:lang w:val="en-US"/>
              </w:rPr>
            </w:pPr>
            <w:r>
              <w:rPr>
                <w:i/>
                <w:sz w:val="20"/>
                <w:lang w:val="en-US"/>
              </w:rPr>
              <w:t>Conclusions follow obviously from analyses</w:t>
            </w:r>
          </w:p>
          <w:p w:rsidR="00D33657" w:rsidRDefault="00D33657" w:rsidP="00737C4C">
            <w:pPr>
              <w:rPr>
                <w:i/>
                <w:sz w:val="20"/>
                <w:lang w:val="en-US"/>
              </w:rPr>
            </w:pPr>
            <w:r>
              <w:rPr>
                <w:i/>
                <w:sz w:val="20"/>
                <w:lang w:val="en-US"/>
              </w:rPr>
              <w:t>Logical flow</w:t>
            </w:r>
          </w:p>
          <w:p w:rsidR="00D33657" w:rsidRPr="00D33657" w:rsidRDefault="00D33657" w:rsidP="00D33657">
            <w:pPr>
              <w:rPr>
                <w:i/>
                <w:sz w:val="20"/>
                <w:lang w:val="en-US"/>
              </w:rPr>
            </w:pPr>
            <w:r>
              <w:rPr>
                <w:i/>
                <w:sz w:val="20"/>
                <w:lang w:val="en-US"/>
              </w:rPr>
              <w:t>Next steps identified and consistent with analyses</w:t>
            </w:r>
          </w:p>
        </w:tc>
        <w:tc>
          <w:tcPr>
            <w:tcW w:w="2700" w:type="dxa"/>
          </w:tcPr>
          <w:p w:rsidR="00737C4C" w:rsidRDefault="00737C4C" w:rsidP="00737C4C">
            <w:pPr>
              <w:rPr>
                <w:lang w:val="en-US"/>
              </w:rPr>
            </w:pPr>
            <w:r>
              <w:rPr>
                <w:b/>
                <w:lang w:val="en-US"/>
              </w:rPr>
              <w:t>3-4 points</w:t>
            </w:r>
          </w:p>
          <w:p w:rsidR="00737C4C" w:rsidRDefault="00D33657" w:rsidP="00737C4C">
            <w:pPr>
              <w:rPr>
                <w:i/>
                <w:sz w:val="20"/>
                <w:lang w:val="en-US"/>
              </w:rPr>
            </w:pPr>
            <w:r>
              <w:rPr>
                <w:i/>
                <w:sz w:val="20"/>
                <w:lang w:val="en-US"/>
              </w:rPr>
              <w:t>Most conclusions are logical</w:t>
            </w:r>
          </w:p>
          <w:p w:rsidR="00D33657" w:rsidRDefault="00D33657" w:rsidP="00737C4C">
            <w:pPr>
              <w:rPr>
                <w:i/>
                <w:sz w:val="20"/>
                <w:lang w:val="en-US"/>
              </w:rPr>
            </w:pPr>
            <w:r>
              <w:rPr>
                <w:i/>
                <w:sz w:val="20"/>
                <w:lang w:val="en-US"/>
              </w:rPr>
              <w:t>Next steps have gaps</w:t>
            </w:r>
          </w:p>
          <w:p w:rsidR="00D33657" w:rsidRPr="00D33657" w:rsidRDefault="00D33657" w:rsidP="00737C4C">
            <w:pPr>
              <w:rPr>
                <w:i/>
                <w:sz w:val="20"/>
                <w:lang w:val="en-US"/>
              </w:rPr>
            </w:pPr>
            <w:r>
              <w:rPr>
                <w:i/>
                <w:sz w:val="20"/>
                <w:lang w:val="en-US"/>
              </w:rPr>
              <w:t>Some conclusions are “opinions” not supported by analyses</w:t>
            </w:r>
          </w:p>
        </w:tc>
        <w:tc>
          <w:tcPr>
            <w:tcW w:w="2245" w:type="dxa"/>
          </w:tcPr>
          <w:p w:rsidR="00737C4C" w:rsidRPr="00737C4C" w:rsidRDefault="00737C4C" w:rsidP="00737C4C">
            <w:pPr>
              <w:rPr>
                <w:lang w:val="en-US"/>
              </w:rPr>
            </w:pPr>
            <w:r>
              <w:rPr>
                <w:b/>
                <w:lang w:val="en-US"/>
              </w:rPr>
              <w:t xml:space="preserve">0-2 </w:t>
            </w:r>
            <w:r w:rsidRPr="00737C4C">
              <w:rPr>
                <w:b/>
                <w:lang w:val="en-US"/>
              </w:rPr>
              <w:t>points</w:t>
            </w:r>
          </w:p>
          <w:p w:rsidR="00737C4C" w:rsidRDefault="00543D5C" w:rsidP="00737C4C">
            <w:pPr>
              <w:rPr>
                <w:i/>
                <w:sz w:val="20"/>
                <w:lang w:val="en-US"/>
              </w:rPr>
            </w:pPr>
            <w:r>
              <w:rPr>
                <w:i/>
                <w:sz w:val="20"/>
                <w:lang w:val="en-US"/>
              </w:rPr>
              <w:t>Disconnect between analyses and conclusions</w:t>
            </w:r>
          </w:p>
          <w:p w:rsidR="00543D5C" w:rsidRPr="00543D5C" w:rsidRDefault="00543D5C" w:rsidP="00737C4C">
            <w:pPr>
              <w:rPr>
                <w:i/>
                <w:sz w:val="20"/>
                <w:lang w:val="en-US"/>
              </w:rPr>
            </w:pPr>
            <w:r>
              <w:rPr>
                <w:i/>
                <w:sz w:val="20"/>
                <w:lang w:val="en-US"/>
              </w:rPr>
              <w:t>No next steps</w:t>
            </w:r>
          </w:p>
        </w:tc>
      </w:tr>
      <w:tr w:rsidR="00737C4C" w:rsidTr="00543D5C">
        <w:tc>
          <w:tcPr>
            <w:tcW w:w="1525" w:type="dxa"/>
          </w:tcPr>
          <w:p w:rsidR="00737C4C" w:rsidRPr="00461B31" w:rsidRDefault="00737C4C" w:rsidP="00737C4C">
            <w:pPr>
              <w:rPr>
                <w:sz w:val="20"/>
                <w:lang w:val="en-US"/>
              </w:rPr>
            </w:pPr>
            <w:r w:rsidRPr="00461B31">
              <w:rPr>
                <w:sz w:val="20"/>
                <w:lang w:val="en-US"/>
              </w:rPr>
              <w:t>Communication</w:t>
            </w:r>
          </w:p>
        </w:tc>
        <w:tc>
          <w:tcPr>
            <w:tcW w:w="2880" w:type="dxa"/>
          </w:tcPr>
          <w:p w:rsidR="00737C4C" w:rsidRDefault="00737C4C" w:rsidP="00737C4C">
            <w:pPr>
              <w:rPr>
                <w:lang w:val="en-US"/>
              </w:rPr>
            </w:pPr>
            <w:r>
              <w:rPr>
                <w:b/>
                <w:lang w:val="en-US"/>
              </w:rPr>
              <w:t>5-6 points</w:t>
            </w:r>
          </w:p>
          <w:p w:rsidR="00737C4C" w:rsidRDefault="00543D5C" w:rsidP="00737C4C">
            <w:pPr>
              <w:rPr>
                <w:i/>
                <w:sz w:val="20"/>
                <w:lang w:val="en-US"/>
              </w:rPr>
            </w:pPr>
            <w:r>
              <w:rPr>
                <w:i/>
                <w:sz w:val="20"/>
                <w:lang w:val="en-US"/>
              </w:rPr>
              <w:t>Clear logical flow</w:t>
            </w:r>
          </w:p>
          <w:p w:rsidR="00543D5C" w:rsidRDefault="00543D5C" w:rsidP="00737C4C">
            <w:pPr>
              <w:rPr>
                <w:i/>
                <w:sz w:val="20"/>
                <w:lang w:val="en-US"/>
              </w:rPr>
            </w:pPr>
            <w:r>
              <w:rPr>
                <w:i/>
                <w:sz w:val="20"/>
                <w:lang w:val="en-US"/>
              </w:rPr>
              <w:t>Charts/tables have appropriate titles and axes are labelled</w:t>
            </w:r>
          </w:p>
          <w:p w:rsidR="00543D5C" w:rsidRDefault="00543D5C" w:rsidP="00737C4C">
            <w:pPr>
              <w:rPr>
                <w:i/>
                <w:sz w:val="20"/>
                <w:lang w:val="en-US"/>
              </w:rPr>
            </w:pPr>
            <w:r>
              <w:rPr>
                <w:i/>
                <w:sz w:val="20"/>
                <w:lang w:val="en-US"/>
              </w:rPr>
              <w:t>Chart scales appropriate</w:t>
            </w:r>
          </w:p>
          <w:p w:rsidR="00543D5C" w:rsidRDefault="00543D5C" w:rsidP="00737C4C">
            <w:pPr>
              <w:rPr>
                <w:i/>
                <w:sz w:val="20"/>
                <w:lang w:val="en-US"/>
              </w:rPr>
            </w:pPr>
            <w:r>
              <w:rPr>
                <w:i/>
                <w:sz w:val="20"/>
                <w:lang w:val="en-US"/>
              </w:rPr>
              <w:t>Section headings compelling and informative</w:t>
            </w:r>
          </w:p>
          <w:p w:rsidR="00543D5C" w:rsidRPr="00543D5C" w:rsidRDefault="00543D5C" w:rsidP="00737C4C">
            <w:pPr>
              <w:rPr>
                <w:i/>
                <w:sz w:val="20"/>
                <w:lang w:val="en-US"/>
              </w:rPr>
            </w:pPr>
            <w:r>
              <w:rPr>
                <w:i/>
                <w:sz w:val="20"/>
                <w:lang w:val="en-US"/>
              </w:rPr>
              <w:t>Good story</w:t>
            </w:r>
          </w:p>
        </w:tc>
        <w:tc>
          <w:tcPr>
            <w:tcW w:w="2700" w:type="dxa"/>
          </w:tcPr>
          <w:p w:rsidR="00737C4C" w:rsidRDefault="00737C4C" w:rsidP="00737C4C">
            <w:pPr>
              <w:rPr>
                <w:b/>
                <w:lang w:val="en-US"/>
              </w:rPr>
            </w:pPr>
            <w:r>
              <w:rPr>
                <w:b/>
                <w:lang w:val="en-US"/>
              </w:rPr>
              <w:t>3-4 points</w:t>
            </w:r>
          </w:p>
          <w:p w:rsidR="00543D5C" w:rsidRDefault="00543D5C" w:rsidP="00737C4C">
            <w:pPr>
              <w:rPr>
                <w:i/>
                <w:sz w:val="20"/>
                <w:lang w:val="en-US"/>
              </w:rPr>
            </w:pPr>
            <w:r>
              <w:rPr>
                <w:i/>
                <w:sz w:val="20"/>
                <w:lang w:val="en-US"/>
              </w:rPr>
              <w:t>Flow is clear</w:t>
            </w:r>
          </w:p>
          <w:p w:rsidR="00543D5C" w:rsidRDefault="00543D5C" w:rsidP="00737C4C">
            <w:pPr>
              <w:rPr>
                <w:i/>
                <w:sz w:val="20"/>
                <w:lang w:val="en-US"/>
              </w:rPr>
            </w:pPr>
            <w:r>
              <w:rPr>
                <w:i/>
                <w:sz w:val="20"/>
                <w:lang w:val="en-US"/>
              </w:rPr>
              <w:t>Most charts have appropriate titles and axes are labelled</w:t>
            </w:r>
          </w:p>
          <w:p w:rsidR="00543D5C" w:rsidRDefault="00543D5C" w:rsidP="00737C4C">
            <w:pPr>
              <w:rPr>
                <w:i/>
                <w:sz w:val="20"/>
                <w:lang w:val="en-US"/>
              </w:rPr>
            </w:pPr>
            <w:r>
              <w:rPr>
                <w:i/>
                <w:sz w:val="20"/>
                <w:lang w:val="en-US"/>
              </w:rPr>
              <w:t>Titles and headings correct but not engaging/informative</w:t>
            </w:r>
          </w:p>
          <w:p w:rsidR="00543D5C" w:rsidRPr="00543D5C" w:rsidRDefault="00543D5C" w:rsidP="00737C4C">
            <w:pPr>
              <w:rPr>
                <w:i/>
                <w:sz w:val="20"/>
                <w:lang w:val="en-US"/>
              </w:rPr>
            </w:pPr>
          </w:p>
        </w:tc>
        <w:tc>
          <w:tcPr>
            <w:tcW w:w="2245" w:type="dxa"/>
          </w:tcPr>
          <w:p w:rsidR="00737C4C" w:rsidRPr="00737C4C" w:rsidRDefault="00737C4C" w:rsidP="00737C4C">
            <w:pPr>
              <w:rPr>
                <w:lang w:val="en-US"/>
              </w:rPr>
            </w:pPr>
            <w:r>
              <w:rPr>
                <w:b/>
                <w:lang w:val="en-US"/>
              </w:rPr>
              <w:t xml:space="preserve">0-2 </w:t>
            </w:r>
            <w:r w:rsidRPr="00737C4C">
              <w:rPr>
                <w:b/>
                <w:lang w:val="en-US"/>
              </w:rPr>
              <w:t>points</w:t>
            </w:r>
          </w:p>
          <w:p w:rsidR="00737C4C" w:rsidRDefault="00543D5C" w:rsidP="00737C4C">
            <w:pPr>
              <w:rPr>
                <w:i/>
                <w:sz w:val="20"/>
                <w:lang w:val="en-US"/>
              </w:rPr>
            </w:pPr>
            <w:r>
              <w:rPr>
                <w:i/>
                <w:sz w:val="20"/>
                <w:lang w:val="en-US"/>
              </w:rPr>
              <w:t>Charts are screen shots</w:t>
            </w:r>
          </w:p>
          <w:p w:rsidR="00543D5C" w:rsidRDefault="00543D5C" w:rsidP="00737C4C">
            <w:pPr>
              <w:rPr>
                <w:i/>
                <w:sz w:val="20"/>
                <w:lang w:val="en-US"/>
              </w:rPr>
            </w:pPr>
            <w:r>
              <w:rPr>
                <w:i/>
                <w:sz w:val="20"/>
                <w:lang w:val="en-US"/>
              </w:rPr>
              <w:t>Titles, labels are defaults</w:t>
            </w:r>
          </w:p>
          <w:p w:rsidR="00543D5C" w:rsidRPr="00543D5C" w:rsidRDefault="00543D5C" w:rsidP="00737C4C">
            <w:pPr>
              <w:rPr>
                <w:i/>
                <w:sz w:val="20"/>
                <w:lang w:val="en-US"/>
              </w:rPr>
            </w:pPr>
            <w:r>
              <w:rPr>
                <w:i/>
                <w:sz w:val="20"/>
                <w:lang w:val="en-US"/>
              </w:rPr>
              <w:t>Uneven flow – reads like 4 people wrote sections and pasted together</w:t>
            </w:r>
          </w:p>
        </w:tc>
      </w:tr>
    </w:tbl>
    <w:p w:rsidR="00335BAA" w:rsidRDefault="00467D12" w:rsidP="00A46CAC">
      <w:pPr>
        <w:rPr>
          <w:lang w:val="en-US"/>
        </w:rPr>
      </w:pPr>
      <w:r>
        <w:rPr>
          <w:lang w:val="en-US"/>
        </w:rPr>
        <w:t xml:space="preserve"> </w:t>
      </w:r>
    </w:p>
    <w:p w:rsidR="00467D12" w:rsidRDefault="00467D12" w:rsidP="00A46CAC">
      <w:pPr>
        <w:rPr>
          <w:lang w:val="en-US"/>
        </w:rPr>
      </w:pPr>
    </w:p>
    <w:p w:rsidR="00F35D47" w:rsidRDefault="00F35D47" w:rsidP="00F35D47">
      <w:pPr>
        <w:rPr>
          <w:lang w:val="en-US"/>
        </w:rPr>
      </w:pPr>
      <w:r>
        <w:rPr>
          <w:lang w:val="en-US"/>
        </w:rPr>
        <w:t xml:space="preserve">In the original memo introducing the project, a brief explanation was given on each of these elements.  Some of this is repeated below.  </w:t>
      </w:r>
    </w:p>
    <w:p w:rsidR="00F35D47" w:rsidRPr="000D0E1F" w:rsidRDefault="00F35D47" w:rsidP="000D0E1F">
      <w:pPr>
        <w:pStyle w:val="ListParagraph"/>
        <w:numPr>
          <w:ilvl w:val="0"/>
          <w:numId w:val="9"/>
        </w:numPr>
        <w:rPr>
          <w:b/>
          <w:lang w:val="en-US"/>
        </w:rPr>
      </w:pPr>
      <w:r w:rsidRPr="000D0E1F">
        <w:rPr>
          <w:b/>
          <w:lang w:val="en-US"/>
        </w:rPr>
        <w:t>Problem Statement</w:t>
      </w:r>
    </w:p>
    <w:p w:rsidR="00A46CAC" w:rsidRDefault="00F35D47" w:rsidP="00F35D47">
      <w:pPr>
        <w:rPr>
          <w:lang w:val="en-US"/>
        </w:rPr>
      </w:pPr>
      <w:r>
        <w:rPr>
          <w:lang w:val="en-US"/>
        </w:rPr>
        <w:t>Although, in your project proposal you attempted to explain your problem and what data you would use, you will likely change or refine the problem statement as you do the analysis.</w:t>
      </w:r>
    </w:p>
    <w:p w:rsidR="00F35D47" w:rsidRDefault="00F35D47" w:rsidP="00F35D47">
      <w:pPr>
        <w:rPr>
          <w:lang w:val="en-US"/>
        </w:rPr>
      </w:pPr>
      <w:r>
        <w:rPr>
          <w:lang w:val="en-US"/>
        </w:rPr>
        <w:t>In the problem statement, you will identify the “big” issue.  A student just emailed me about their group looking at “Does working affect student GPA”.  What does this really mean and why should we care?</w:t>
      </w:r>
    </w:p>
    <w:p w:rsidR="00F35D47" w:rsidRDefault="00F35D47" w:rsidP="00F35D47">
      <w:pPr>
        <w:rPr>
          <w:lang w:val="en-US"/>
        </w:rPr>
      </w:pPr>
      <w:r>
        <w:rPr>
          <w:lang w:val="en-US"/>
        </w:rPr>
        <w:lastRenderedPageBreak/>
        <w:t>The group should be clarifying that they are talking about students taking paid employment while they are enrolled in school full time.  Do they want to limit their examination to “GPA” or more broadly look at student “performance” or student “success”.  There are more measures of performance or success than just GPA so broadening the outcome may give a richer examination of paid employment.</w:t>
      </w:r>
    </w:p>
    <w:p w:rsidR="00F35D47" w:rsidRDefault="00F35D47" w:rsidP="00F35D47">
      <w:pPr>
        <w:rPr>
          <w:lang w:val="en-US"/>
        </w:rPr>
      </w:pPr>
      <w:r>
        <w:rPr>
          <w:lang w:val="en-US"/>
        </w:rPr>
        <w:t xml:space="preserve">Why should we care about this issue?  Why do students work?  Who works?  Is working seen as a good or bad thing?  (e.g., working as a research assistant to gain skills versus working at Tim Horton’s to pay bills).  If working for money is seen as a necessary activity, </w:t>
      </w:r>
      <w:r w:rsidR="004E7C37">
        <w:rPr>
          <w:lang w:val="en-US"/>
        </w:rPr>
        <w:t>does the type of work matter?  If you see working as negative, are some students more adversely affected than others?  How does working affect GPA?  Not directly.  Maybe working leaves less time for study or for recreation.  Is losing recreation time a big deal?</w:t>
      </w:r>
    </w:p>
    <w:p w:rsidR="004E7C37" w:rsidRDefault="004E7C37" w:rsidP="00F35D47">
      <w:pPr>
        <w:rPr>
          <w:lang w:val="en-US"/>
        </w:rPr>
      </w:pPr>
      <w:r>
        <w:rPr>
          <w:lang w:val="en-US"/>
        </w:rPr>
        <w:t>The problem statement can ramble on for ages so make a brief compelling statement about why I should read your report.</w:t>
      </w:r>
    </w:p>
    <w:p w:rsidR="004E7C37" w:rsidRDefault="004E7C37" w:rsidP="00F35D47">
      <w:pPr>
        <w:rPr>
          <w:lang w:val="en-US"/>
        </w:rPr>
      </w:pPr>
      <w:r>
        <w:rPr>
          <w:lang w:val="en-US"/>
        </w:rPr>
        <w:t>Identify a set of specific questions that the report will address.  Who works?  How many hours?  Is hours working related to GPA?  In the analysis you may break up the questions into smaller questions, such as is the relationship the same for domestic and international students.</w:t>
      </w:r>
    </w:p>
    <w:p w:rsidR="004E7C37" w:rsidRDefault="004E7C37" w:rsidP="00F35D47">
      <w:pPr>
        <w:rPr>
          <w:lang w:val="en-US"/>
        </w:rPr>
      </w:pPr>
      <w:r>
        <w:rPr>
          <w:lang w:val="en-US"/>
        </w:rPr>
        <w:t>So in the section on the problem statement you will list a set of more detailed questions, but not necessarily everything that you will look at in the analysis.  You are engaging the reader, not burying me in detail that will be addressed later.</w:t>
      </w:r>
    </w:p>
    <w:p w:rsidR="0031706B" w:rsidRDefault="00467D12" w:rsidP="00F35D47">
      <w:pPr>
        <w:rPr>
          <w:lang w:val="en-US"/>
        </w:rPr>
      </w:pPr>
      <w:r>
        <w:rPr>
          <w:lang w:val="en-US"/>
        </w:rPr>
        <w:t>If there is a lot of text, the reader loses attention.  Our eye is drawn to pictures and lists because they are not boring text.  So present your questions as a bulleted list to make them stand out.  I may not read the other text but my eye is drawn to your list.</w:t>
      </w:r>
    </w:p>
    <w:p w:rsidR="004E7C37" w:rsidRDefault="004E7C37" w:rsidP="00F35D47">
      <w:pPr>
        <w:rPr>
          <w:lang w:val="en-US"/>
        </w:rPr>
      </w:pPr>
      <w:r>
        <w:rPr>
          <w:lang w:val="en-US"/>
        </w:rPr>
        <w:t>The list of questions will likely change as you get into the analysis.</w:t>
      </w:r>
    </w:p>
    <w:p w:rsidR="00467D12" w:rsidRDefault="00467D12" w:rsidP="00F35D47">
      <w:pPr>
        <w:rPr>
          <w:b/>
          <w:lang w:val="en-US"/>
        </w:rPr>
      </w:pPr>
    </w:p>
    <w:p w:rsidR="000D0E1F" w:rsidRDefault="000D0E1F">
      <w:pPr>
        <w:rPr>
          <w:b/>
          <w:lang w:val="en-US"/>
        </w:rPr>
      </w:pPr>
      <w:r>
        <w:rPr>
          <w:b/>
          <w:lang w:val="en-US"/>
        </w:rPr>
        <w:br w:type="page"/>
      </w:r>
    </w:p>
    <w:p w:rsidR="004E7C37" w:rsidRPr="000D0E1F" w:rsidRDefault="004E7C37" w:rsidP="000D0E1F">
      <w:pPr>
        <w:pStyle w:val="ListParagraph"/>
        <w:numPr>
          <w:ilvl w:val="0"/>
          <w:numId w:val="11"/>
        </w:numPr>
        <w:rPr>
          <w:lang w:val="en-US"/>
        </w:rPr>
      </w:pPr>
      <w:r w:rsidRPr="000D0E1F">
        <w:rPr>
          <w:b/>
          <w:lang w:val="en-US"/>
        </w:rPr>
        <w:t xml:space="preserve">Data Selection </w:t>
      </w:r>
      <w:r w:rsidR="00D96150" w:rsidRPr="000D0E1F">
        <w:rPr>
          <w:b/>
          <w:lang w:val="en-US"/>
        </w:rPr>
        <w:t>and Quality</w:t>
      </w:r>
    </w:p>
    <w:p w:rsidR="00D96150" w:rsidRDefault="00D96150" w:rsidP="00F35D47">
      <w:pPr>
        <w:rPr>
          <w:lang w:val="en-US"/>
        </w:rPr>
      </w:pPr>
      <w:r>
        <w:rPr>
          <w:lang w:val="en-US"/>
        </w:rPr>
        <w:t>Where does your data come from?  Are there limitations to this source?  How will this limit your ability to generalize?  For example, if you are using the 2020 class survey, are there limitations to talking only about students who were registered in MGSC 1206?</w:t>
      </w:r>
    </w:p>
    <w:p w:rsidR="000D0E1F" w:rsidRDefault="000D0E1F" w:rsidP="00F35D47">
      <w:pPr>
        <w:rPr>
          <w:lang w:val="en-US"/>
        </w:rPr>
      </w:pPr>
    </w:p>
    <w:p w:rsidR="00335BAA" w:rsidRDefault="00335BAA" w:rsidP="00F35D47">
      <w:pPr>
        <w:rPr>
          <w:lang w:val="en-US"/>
        </w:rPr>
      </w:pPr>
      <w:r>
        <w:rPr>
          <w:lang w:val="en-US"/>
        </w:rPr>
        <w:t>Look at Assignment #3.  It was set up as if it was a mini project, or at least the start of one.  The “big” issue was student retention.  If we were to try to reduce the number of students who drop out, we must intervene in the student’s program early.  Early was defined as during the student’s first term of study.  We were concerned that students who did poorly in the first term were most likely to drop out.  Who are these students?  What were their high school grades like?  Where were they from?  When did they apply?  Can we use admission data to predict first term performance?  What variables are most influential? … This was a very brief problem statement.</w:t>
      </w:r>
    </w:p>
    <w:p w:rsidR="00335BAA" w:rsidRDefault="00335BAA" w:rsidP="00F35D47">
      <w:pPr>
        <w:rPr>
          <w:lang w:val="en-US"/>
        </w:rPr>
      </w:pPr>
      <w:r>
        <w:rPr>
          <w:lang w:val="en-US"/>
        </w:rPr>
        <w:t xml:space="preserve">The assignment went on to discuss what data was available.  We only had a few variables.  Grading systems vary around the world, and high school grades were not recorded for all students.  We excluded all international students and those for whom we did not have the high school average.  We then excluded transfer students.  We excluded students whose fall GPA was zero because we thought they may have never attended or dropped out in September (too soon for us to act).  These are data quality issues.  We “cleaned” the data, but did we limit what we could then do with our analysis?  </w:t>
      </w:r>
      <w:r w:rsidR="000D0E1F">
        <w:rPr>
          <w:lang w:val="en-US"/>
        </w:rPr>
        <w:t>We can now only talk about Canadian students entering directly from high school.  This is likely only half of the entering students.</w:t>
      </w:r>
    </w:p>
    <w:p w:rsidR="000D0E1F" w:rsidRDefault="000D0E1F" w:rsidP="00F35D47">
      <w:pPr>
        <w:rPr>
          <w:lang w:val="en-US"/>
        </w:rPr>
      </w:pPr>
      <w:r>
        <w:rPr>
          <w:lang w:val="en-US"/>
        </w:rPr>
        <w:t>Although not part of the assignment, when we drilled into the data for our analysis, we may have discovered other problems (like the students that applied more than a year in advance, or the ones that had very strange high school averages).</w:t>
      </w:r>
    </w:p>
    <w:p w:rsidR="000D0E1F" w:rsidRDefault="000D0E1F" w:rsidP="00F35D47">
      <w:pPr>
        <w:rPr>
          <w:lang w:val="en-US"/>
        </w:rPr>
      </w:pPr>
    </w:p>
    <w:p w:rsidR="00D96150" w:rsidRDefault="00D96150" w:rsidP="00F35D47">
      <w:pPr>
        <w:rPr>
          <w:lang w:val="en-US"/>
        </w:rPr>
      </w:pPr>
      <w:r>
        <w:rPr>
          <w:lang w:val="en-US"/>
        </w:rPr>
        <w:t xml:space="preserve">Think about the source and quality issues, make a few notes to yourself, and then move on to your analysis.  When you get into your analysis you will start discovering any issues with the data.  What did you do with outliers?  What about missing values?  Maybe they don’t matter.  Make notes about any data transformations or cleaning you do.  Did you combine groups because sample sizes were too small?  </w:t>
      </w:r>
    </w:p>
    <w:p w:rsidR="00D96150" w:rsidRDefault="00D96150" w:rsidP="00F35D47">
      <w:pPr>
        <w:rPr>
          <w:lang w:val="en-US"/>
        </w:rPr>
      </w:pPr>
      <w:r>
        <w:rPr>
          <w:lang w:val="en-US"/>
        </w:rPr>
        <w:t>Last term many groups analyzed the survey from 2010.  Although 10 years old, there was a lot of interesting stuff that would still be applicable today (e.g., gender differences or program differences).  But many groups did not clean up the numerous outliers.  Many looked at programs, such as medicine and fine arts, even though these were obvious errors.  Many did not note that many of their subgroups had only a few values – not enough to draw conclusions from.  It is a data set with serious quality issues and cleaning is necessary.  After you have decided what changes you had to make, then you can go back and write this section of the report.</w:t>
      </w:r>
    </w:p>
    <w:p w:rsidR="00D96150" w:rsidRDefault="00D96150" w:rsidP="00F35D47">
      <w:pPr>
        <w:rPr>
          <w:lang w:val="en-US"/>
        </w:rPr>
      </w:pPr>
      <w:r>
        <w:rPr>
          <w:lang w:val="en-US"/>
        </w:rPr>
        <w:t>If you are not careful with cleaning and transforming your data appropriately</w:t>
      </w:r>
      <w:r w:rsidR="004643DF">
        <w:rPr>
          <w:lang w:val="en-US"/>
        </w:rPr>
        <w:t>, it is not just errors that you can make, but the junk/clutter will become a significant distraction for the reader, because the reader has to filter out the junk in reading your table/chart.</w:t>
      </w:r>
    </w:p>
    <w:p w:rsidR="000D0E1F" w:rsidRDefault="000D0E1F">
      <w:pPr>
        <w:rPr>
          <w:b/>
          <w:lang w:val="en-US"/>
        </w:rPr>
      </w:pPr>
      <w:r>
        <w:rPr>
          <w:b/>
          <w:lang w:val="en-US"/>
        </w:rPr>
        <w:br w:type="page"/>
      </w:r>
    </w:p>
    <w:p w:rsidR="004643DF" w:rsidRPr="000D0E1F" w:rsidRDefault="004643DF" w:rsidP="000D0E1F">
      <w:pPr>
        <w:pStyle w:val="ListParagraph"/>
        <w:numPr>
          <w:ilvl w:val="0"/>
          <w:numId w:val="11"/>
        </w:numPr>
        <w:rPr>
          <w:lang w:val="en-US"/>
        </w:rPr>
      </w:pPr>
      <w:r w:rsidRPr="000D0E1F">
        <w:rPr>
          <w:b/>
          <w:lang w:val="en-US"/>
        </w:rPr>
        <w:t>Analysis</w:t>
      </w:r>
    </w:p>
    <w:p w:rsidR="004643DF" w:rsidRDefault="004643DF" w:rsidP="00F35D47">
      <w:pPr>
        <w:rPr>
          <w:lang w:val="en-US"/>
        </w:rPr>
      </w:pPr>
      <w:r>
        <w:rPr>
          <w:lang w:val="en-US"/>
        </w:rPr>
        <w:t>In general, we write the analysis section first and then add the beginning and ending to the story.</w:t>
      </w:r>
    </w:p>
    <w:p w:rsidR="004643DF" w:rsidRDefault="004643DF" w:rsidP="00F35D47">
      <w:pPr>
        <w:rPr>
          <w:lang w:val="en-US"/>
        </w:rPr>
      </w:pPr>
      <w:r>
        <w:rPr>
          <w:lang w:val="en-US"/>
        </w:rPr>
        <w:t>As noted above, you may have to make comments on data cleaning/transformation in the analysis section.  This is done when the changes only apply to a particular chart and not the whole report.  It is easier to understand why and how the changes were made in the context of the specific piece of analysis.</w:t>
      </w:r>
    </w:p>
    <w:p w:rsidR="00FA1D45" w:rsidRDefault="004643DF" w:rsidP="00F35D47">
      <w:pPr>
        <w:rPr>
          <w:lang w:val="en-US"/>
        </w:rPr>
      </w:pPr>
      <w:r>
        <w:rPr>
          <w:lang w:val="en-US"/>
        </w:rPr>
        <w:t>Many research questions can be explored using simple tables or charts.  Some students are trying to use regression analysis.  This is commendable, but it will be challenging.  Excel doesn’t like missing values for regression, so you may get an error saying you have non-numeric data (a blank).  As we saw with assignment 3 and 4, it is very difficult to predict GPA.  This is the case with a very large number of problems that we analyze with regression.  Don’t be disappointed if you have a small R-square and big standard error.</w:t>
      </w:r>
    </w:p>
    <w:p w:rsidR="00FA1D45" w:rsidRDefault="00FA1D45">
      <w:pPr>
        <w:rPr>
          <w:lang w:val="en-US"/>
        </w:rPr>
      </w:pPr>
    </w:p>
    <w:tbl>
      <w:tblPr>
        <w:tblStyle w:val="TableGrid"/>
        <w:tblW w:w="6570" w:type="dxa"/>
        <w:tblInd w:w="1705" w:type="dxa"/>
        <w:tblLook w:val="04A0" w:firstRow="1" w:lastRow="0" w:firstColumn="1" w:lastColumn="0" w:noHBand="0" w:noVBand="1"/>
      </w:tblPr>
      <w:tblGrid>
        <w:gridCol w:w="6570"/>
      </w:tblGrid>
      <w:tr w:rsidR="004643DF" w:rsidTr="00FA1D45">
        <w:tc>
          <w:tcPr>
            <w:tcW w:w="6570" w:type="dxa"/>
          </w:tcPr>
          <w:p w:rsidR="00FA1D45" w:rsidRDefault="00FA1D45" w:rsidP="00FA1D45">
            <w:pPr>
              <w:rPr>
                <w:lang w:val="en-US"/>
              </w:rPr>
            </w:pPr>
          </w:p>
          <w:p w:rsidR="00FA1D45" w:rsidRDefault="00FA1D45" w:rsidP="00FA1D45">
            <w:pPr>
              <w:rPr>
                <w:lang w:val="en-US"/>
              </w:rPr>
            </w:pPr>
            <w:r>
              <w:rPr>
                <w:lang w:val="en-US"/>
              </w:rPr>
              <w:t xml:space="preserve">The purpose of this project is to have you apply the </w:t>
            </w:r>
            <w:r w:rsidRPr="004643DF">
              <w:rPr>
                <w:b/>
                <w:lang w:val="en-US"/>
              </w:rPr>
              <w:t>process</w:t>
            </w:r>
            <w:r>
              <w:rPr>
                <w:lang w:val="en-US"/>
              </w:rPr>
              <w:t xml:space="preserve"> of data analysis from start to finish.  You are not being evaluated on what you discover.  Your grade is based upon how you do your analysis and how you communicate your problem and conclusions.</w:t>
            </w:r>
          </w:p>
          <w:p w:rsidR="004643DF" w:rsidRDefault="004643DF" w:rsidP="00FA1D45">
            <w:pPr>
              <w:ind w:left="1502"/>
              <w:rPr>
                <w:lang w:val="en-US"/>
              </w:rPr>
            </w:pPr>
          </w:p>
        </w:tc>
      </w:tr>
    </w:tbl>
    <w:p w:rsidR="004643DF" w:rsidRDefault="004643DF" w:rsidP="00F35D47">
      <w:pPr>
        <w:rPr>
          <w:lang w:val="en-US"/>
        </w:rPr>
      </w:pPr>
    </w:p>
    <w:p w:rsidR="00044AF4" w:rsidRDefault="004B5EBB" w:rsidP="00F35D47">
      <w:pPr>
        <w:rPr>
          <w:lang w:val="en-US"/>
        </w:rPr>
      </w:pPr>
      <w:r>
        <w:rPr>
          <w:lang w:val="en-US"/>
        </w:rPr>
        <w:t>Last fall, most groups set out to do reasonable analyses but issues arose with how the analysis was presented or the group did not pay appropriate attention to data quality.  Below is a graph that one group had in a draft of their report.</w:t>
      </w:r>
    </w:p>
    <w:p w:rsidR="004B5EBB" w:rsidRDefault="004B5EBB" w:rsidP="00F35D47">
      <w:pPr>
        <w:rPr>
          <w:lang w:val="en-US"/>
        </w:rPr>
      </w:pPr>
      <w:r w:rsidRPr="004B5EBB">
        <w:rPr>
          <w:noProof/>
        </w:rPr>
        <w:drawing>
          <wp:inline distT="0" distB="0" distL="0" distR="0" wp14:anchorId="373B250D" wp14:editId="354A87FE">
            <wp:extent cx="4102925" cy="2856016"/>
            <wp:effectExtent l="0" t="0" r="12065" b="1905"/>
            <wp:docPr id="1" name="Chart 1">
              <a:extLst xmlns:a="http://schemas.openxmlformats.org/drawingml/2006/main">
                <a:ext uri="{FF2B5EF4-FFF2-40B4-BE49-F238E27FC236}">
                  <a16:creationId xmlns:a16="http://schemas.microsoft.com/office/drawing/2014/main" id="{84246596-B745-43B1-BB0F-D1BD7147BD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B5EBB" w:rsidRDefault="004B5EBB" w:rsidP="00F35D47">
      <w:pPr>
        <w:rPr>
          <w:lang w:val="en-US"/>
        </w:rPr>
      </w:pPr>
      <w:r>
        <w:rPr>
          <w:lang w:val="en-US"/>
        </w:rPr>
        <w:t>This graph has numerous problems.  What were they trying to tell me?</w:t>
      </w:r>
    </w:p>
    <w:p w:rsidR="004B5EBB" w:rsidRDefault="004B5EBB" w:rsidP="00F35D47">
      <w:pPr>
        <w:rPr>
          <w:lang w:val="en-US"/>
        </w:rPr>
      </w:pPr>
      <w:r>
        <w:rPr>
          <w:lang w:val="en-US"/>
        </w:rPr>
        <w:t>The data was from the survey from fall 2019.  One item they were looking at was the relationship between high school average and GPA.</w:t>
      </w:r>
    </w:p>
    <w:p w:rsidR="004B5EBB" w:rsidRDefault="004B5EBB" w:rsidP="00F35D47">
      <w:pPr>
        <w:rPr>
          <w:lang w:val="en-US"/>
        </w:rPr>
      </w:pPr>
      <w:r>
        <w:rPr>
          <w:lang w:val="en-US"/>
        </w:rPr>
        <w:t xml:space="preserve">The title of this chart was actually the survey question for the vertical axis.  </w:t>
      </w:r>
    </w:p>
    <w:p w:rsidR="004B5EBB" w:rsidRDefault="004B5EBB" w:rsidP="00F35D47">
      <w:pPr>
        <w:rPr>
          <w:lang w:val="en-US"/>
        </w:rPr>
      </w:pPr>
      <w:r>
        <w:rPr>
          <w:lang w:val="en-US"/>
        </w:rPr>
        <w:t>The horizontal axis was the student’s GPA.</w:t>
      </w:r>
    </w:p>
    <w:p w:rsidR="004B5EBB" w:rsidRDefault="004B5EBB" w:rsidP="00F35D47">
      <w:pPr>
        <w:rPr>
          <w:lang w:val="en-US"/>
        </w:rPr>
      </w:pPr>
      <w:r>
        <w:rPr>
          <w:lang w:val="en-US"/>
        </w:rPr>
        <w:t>If the goal was to show whether HS average predicts GPA, then the axes are backwards.  Note that neither axis was labelled so someone unfamiliar with the data would have no idea what was being displayed.</w:t>
      </w:r>
    </w:p>
    <w:p w:rsidR="004B5EBB" w:rsidRDefault="004B5EBB" w:rsidP="00F35D47">
      <w:pPr>
        <w:rPr>
          <w:lang w:val="en-US"/>
        </w:rPr>
      </w:pPr>
      <w:r>
        <w:rPr>
          <w:lang w:val="en-US"/>
        </w:rPr>
        <w:t>Look at the GPA values.  Most are between 0 and 4, but one observation is 15.  This outlier is likely a data entry error.  It could be 1.5.  It should either be eliminated or changed to 1.5.</w:t>
      </w:r>
    </w:p>
    <w:p w:rsidR="004B5EBB" w:rsidRDefault="004B5EBB" w:rsidP="00F35D47">
      <w:pPr>
        <w:rPr>
          <w:lang w:val="en-US"/>
        </w:rPr>
      </w:pPr>
      <w:r>
        <w:rPr>
          <w:lang w:val="en-US"/>
        </w:rPr>
        <w:t>Look at the high school averages.  Three values are 0.  There is no obvious way to fix these outliers, so they should be eliminated.</w:t>
      </w:r>
    </w:p>
    <w:p w:rsidR="004B5EBB" w:rsidRDefault="004B5EBB" w:rsidP="00F35D47">
      <w:pPr>
        <w:rPr>
          <w:lang w:val="en-US"/>
        </w:rPr>
      </w:pPr>
      <w:r>
        <w:rPr>
          <w:lang w:val="en-US"/>
        </w:rPr>
        <w:t>The chart below is an edited version of the above with a title that tries to tell what the chart is saying.</w:t>
      </w:r>
    </w:p>
    <w:p w:rsidR="004B5EBB" w:rsidRDefault="004B5EBB" w:rsidP="00F35D47">
      <w:pPr>
        <w:rPr>
          <w:lang w:val="en-US"/>
        </w:rPr>
      </w:pPr>
      <w:r w:rsidRPr="004B5EBB">
        <w:rPr>
          <w:noProof/>
        </w:rPr>
        <w:drawing>
          <wp:inline distT="0" distB="0" distL="0" distR="0" wp14:anchorId="0A2EA64B" wp14:editId="3B370FB7">
            <wp:extent cx="5943600" cy="3689350"/>
            <wp:effectExtent l="0" t="0" r="0" b="6350"/>
            <wp:docPr id="2" name="Chart 2">
              <a:extLst xmlns:a="http://schemas.openxmlformats.org/drawingml/2006/main">
                <a:ext uri="{FF2B5EF4-FFF2-40B4-BE49-F238E27FC236}">
                  <a16:creationId xmlns:a16="http://schemas.microsoft.com/office/drawing/2014/main" id="{D729EF47-B86C-435B-8627-673A5A41AB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B0808" w:rsidRDefault="00DB0808" w:rsidP="00F35D47">
      <w:pPr>
        <w:rPr>
          <w:lang w:val="en-US"/>
        </w:rPr>
      </w:pPr>
      <w:r>
        <w:rPr>
          <w:lang w:val="en-US"/>
        </w:rPr>
        <w:t>You could a regression line and a correlation coefficient to emphasize what your title is saying.</w:t>
      </w:r>
    </w:p>
    <w:p w:rsidR="00DB0808" w:rsidRDefault="00DB0808" w:rsidP="00F35D47">
      <w:pPr>
        <w:rPr>
          <w:lang w:val="en-US"/>
        </w:rPr>
      </w:pPr>
      <w:r>
        <w:rPr>
          <w:lang w:val="en-US"/>
        </w:rPr>
        <w:t>Good analysis involves good data preparation and good communication.</w:t>
      </w:r>
    </w:p>
    <w:p w:rsidR="00DB0808" w:rsidRDefault="00DB0808" w:rsidP="00F35D47">
      <w:pPr>
        <w:rPr>
          <w:lang w:val="en-US"/>
        </w:rPr>
      </w:pPr>
    </w:p>
    <w:p w:rsidR="00DB0808" w:rsidRDefault="00DB0808" w:rsidP="00F35D47">
      <w:pPr>
        <w:rPr>
          <w:lang w:val="en-US"/>
        </w:rPr>
      </w:pPr>
      <w:r>
        <w:rPr>
          <w:lang w:val="en-US"/>
        </w:rPr>
        <w:t>There are many types of charts that you can create in Excel and many ways to format your chart.  Good analysis includes selecting and formatting the right chart for the task.  You can also use tables in place of charts for many applications.  With tables, formatting is very important.  Whether tables or charts, it is critical that axes be clearly labelled and the chart/table be kept as clean and simple as possible.  Color should be used “gently” so that it does not detract from the message.</w:t>
      </w:r>
    </w:p>
    <w:p w:rsidR="00DB0808" w:rsidRDefault="00DB0808" w:rsidP="00F35D47">
      <w:pPr>
        <w:rPr>
          <w:lang w:val="en-US"/>
        </w:rPr>
      </w:pPr>
      <w:r>
        <w:rPr>
          <w:lang w:val="en-US"/>
        </w:rPr>
        <w:t>Charts are often more effective than tables, but it may depend upon your audience.  Readers get fatigued if there is too much text, so pictures can help hold your reader’s attention.</w:t>
      </w:r>
    </w:p>
    <w:p w:rsidR="00DB0808" w:rsidRDefault="000D0E1F" w:rsidP="00DB0808">
      <w:r>
        <w:t>More on chart selection and presentation later.</w:t>
      </w:r>
    </w:p>
    <w:p w:rsidR="000D0E1F" w:rsidRDefault="000D0E1F" w:rsidP="00DB0808"/>
    <w:p w:rsidR="001E7317" w:rsidRDefault="001E7317" w:rsidP="000D0E1F">
      <w:pPr>
        <w:pStyle w:val="ListParagraph"/>
        <w:numPr>
          <w:ilvl w:val="0"/>
          <w:numId w:val="11"/>
        </w:numPr>
      </w:pPr>
      <w:r w:rsidRPr="000D0E1F">
        <w:rPr>
          <w:b/>
        </w:rPr>
        <w:t>Conclusion</w:t>
      </w:r>
      <w:r w:rsidR="000D0E1F">
        <w:rPr>
          <w:b/>
        </w:rPr>
        <w:t>s and Recommendations</w:t>
      </w:r>
    </w:p>
    <w:p w:rsidR="001E7317" w:rsidRDefault="001E7317" w:rsidP="00DB0808">
      <w:r>
        <w:t>The conclusions should never be a surprise to the reader.  The analysis should be sequenced such that the conclusions are obvious.  Someone said that a presentation should have three parts:</w:t>
      </w:r>
    </w:p>
    <w:p w:rsidR="001E7317" w:rsidRDefault="001E7317" w:rsidP="001E7317">
      <w:pPr>
        <w:pStyle w:val="ListParagraph"/>
        <w:numPr>
          <w:ilvl w:val="0"/>
          <w:numId w:val="6"/>
        </w:numPr>
      </w:pPr>
      <w:r>
        <w:t>Tell me what you are going to tell me</w:t>
      </w:r>
    </w:p>
    <w:p w:rsidR="001E7317" w:rsidRDefault="001E7317" w:rsidP="001E7317">
      <w:pPr>
        <w:pStyle w:val="ListParagraph"/>
        <w:numPr>
          <w:ilvl w:val="0"/>
          <w:numId w:val="6"/>
        </w:numPr>
      </w:pPr>
      <w:r>
        <w:t>Tell me</w:t>
      </w:r>
    </w:p>
    <w:p w:rsidR="001E7317" w:rsidRDefault="001E7317" w:rsidP="001E7317">
      <w:pPr>
        <w:pStyle w:val="ListParagraph"/>
        <w:numPr>
          <w:ilvl w:val="0"/>
          <w:numId w:val="6"/>
        </w:numPr>
      </w:pPr>
      <w:r>
        <w:t>Tell me what you told me</w:t>
      </w:r>
    </w:p>
    <w:p w:rsidR="001E7317" w:rsidRDefault="001E7317" w:rsidP="001E7317">
      <w:r>
        <w:t>The conclusions are simply a summary of your findings.</w:t>
      </w:r>
    </w:p>
    <w:p w:rsidR="001E7317" w:rsidRDefault="001E7317" w:rsidP="001E7317">
      <w:r>
        <w:t>However, you may choose to have recommendations.  These go beyond conclusions and suggest next steps.  Be careful where you step.</w:t>
      </w:r>
    </w:p>
    <w:p w:rsidR="001E7317" w:rsidRDefault="001E7317" w:rsidP="001E7317">
      <w:r>
        <w:t>Don’t have recommendations that do not follow from the analysis and conclusions.  This is not an opportunity for you to express your personal opinions, unless you can support them with your analysis.</w:t>
      </w:r>
    </w:p>
    <w:p w:rsidR="001E7317" w:rsidRDefault="001E7317" w:rsidP="001E7317">
      <w:r>
        <w:t>Many groups will have chosen a topic that they are personally passionate and interested in.  The group may start the project with expectations of what they will find and what they will recommend.  Most will find that the data does not give as clear conclusions as they thought it would.  This is not unique to this project or the survey you used.  Reality is often muddy.</w:t>
      </w:r>
    </w:p>
    <w:p w:rsidR="00272ED5" w:rsidRDefault="001E7317" w:rsidP="001E7317">
      <w:r>
        <w:t xml:space="preserve">However, </w:t>
      </w:r>
      <w:r w:rsidRPr="00272ED5">
        <w:rPr>
          <w:b/>
        </w:rPr>
        <w:t>you may be able to offer effective recommendations on how a new study can be done that will give more definitive answers.</w:t>
      </w:r>
      <w:r>
        <w:t xml:space="preserve">  You used the data you were given, not a data set that was </w:t>
      </w:r>
      <w:r w:rsidR="001D422A">
        <w:t xml:space="preserve">collected to answer the specific questions you wanted to investigate.  </w:t>
      </w:r>
    </w:p>
    <w:p w:rsidR="00272ED5" w:rsidRDefault="001D422A" w:rsidP="001E7317">
      <w:r>
        <w:t xml:space="preserve">If you were to conduct a new research study, </w:t>
      </w:r>
    </w:p>
    <w:p w:rsidR="00272ED5" w:rsidRDefault="001D422A" w:rsidP="00272ED5">
      <w:pPr>
        <w:pStyle w:val="ListParagraph"/>
        <w:numPr>
          <w:ilvl w:val="0"/>
          <w:numId w:val="12"/>
        </w:numPr>
      </w:pPr>
      <w:r>
        <w:t xml:space="preserve">what questions would you ask?  </w:t>
      </w:r>
    </w:p>
    <w:p w:rsidR="00272ED5" w:rsidRDefault="001D422A" w:rsidP="00272ED5">
      <w:pPr>
        <w:pStyle w:val="ListParagraph"/>
        <w:numPr>
          <w:ilvl w:val="0"/>
          <w:numId w:val="12"/>
        </w:numPr>
      </w:pPr>
      <w:r>
        <w:t xml:space="preserve">Who would you ask?  </w:t>
      </w:r>
    </w:p>
    <w:p w:rsidR="00272ED5" w:rsidRDefault="001D422A" w:rsidP="00272ED5">
      <w:pPr>
        <w:pStyle w:val="ListParagraph"/>
        <w:numPr>
          <w:ilvl w:val="0"/>
          <w:numId w:val="12"/>
        </w:numPr>
      </w:pPr>
      <w:r>
        <w:t xml:space="preserve">How would you obtain the answers so that you were not constrained by issues of non-response or other data quality problems that you may have had to deal with?  </w:t>
      </w:r>
    </w:p>
    <w:p w:rsidR="00272ED5" w:rsidRDefault="001D422A" w:rsidP="00272ED5">
      <w:pPr>
        <w:pStyle w:val="ListParagraph"/>
        <w:numPr>
          <w:ilvl w:val="0"/>
          <w:numId w:val="12"/>
        </w:numPr>
      </w:pPr>
      <w:r>
        <w:t xml:space="preserve">Imagine this report as being a pilot study that was intended to inform a larger research study.  </w:t>
      </w:r>
    </w:p>
    <w:p w:rsidR="001E7317" w:rsidRDefault="001D422A" w:rsidP="00272ED5">
      <w:pPr>
        <w:pStyle w:val="ListParagraph"/>
        <w:numPr>
          <w:ilvl w:val="0"/>
          <w:numId w:val="12"/>
        </w:numPr>
      </w:pPr>
      <w:r>
        <w:t>What would you recommend so that the larger study was successful?</w:t>
      </w:r>
    </w:p>
    <w:p w:rsidR="001D422A" w:rsidRPr="001E7317" w:rsidRDefault="001D422A" w:rsidP="001E7317"/>
    <w:p w:rsidR="000D0E1F" w:rsidRDefault="000D0E1F">
      <w:pPr>
        <w:rPr>
          <w:b/>
        </w:rPr>
      </w:pPr>
      <w:r>
        <w:rPr>
          <w:b/>
        </w:rPr>
        <w:br w:type="page"/>
      </w:r>
    </w:p>
    <w:p w:rsidR="009716C3" w:rsidRDefault="000D0E1F" w:rsidP="000D0E1F">
      <w:pPr>
        <w:pStyle w:val="ListParagraph"/>
        <w:numPr>
          <w:ilvl w:val="0"/>
          <w:numId w:val="11"/>
        </w:numPr>
      </w:pPr>
      <w:r>
        <w:rPr>
          <w:b/>
        </w:rPr>
        <w:t xml:space="preserve">Communication - </w:t>
      </w:r>
      <w:r w:rsidR="009716C3" w:rsidRPr="000D0E1F">
        <w:rPr>
          <w:b/>
        </w:rPr>
        <w:t>Cohesion, Persuasiveness and Clarity</w:t>
      </w:r>
    </w:p>
    <w:p w:rsidR="009716C3" w:rsidRDefault="009716C3" w:rsidP="009716C3">
      <w:r>
        <w:t>It is impossible to talk about how to present your analysis without discussing persuasiveness and clarity.  The above example of a scatter chart was both an example of using a scatter chart for analysis and an example of persuasiveness and clarity.</w:t>
      </w:r>
      <w:r w:rsidRPr="009716C3">
        <w:t xml:space="preserve"> </w:t>
      </w:r>
    </w:p>
    <w:p w:rsidR="009716C3" w:rsidRDefault="009716C3" w:rsidP="009716C3">
      <w:pPr>
        <w:rPr>
          <w:bCs/>
        </w:rPr>
      </w:pPr>
      <w:r w:rsidRPr="00DB0808">
        <w:t xml:space="preserve">John Tukey, renowned American mathematician and statistician, once said, </w:t>
      </w:r>
      <w:r w:rsidRPr="00DB0808">
        <w:rPr>
          <w:b/>
          <w:bCs/>
        </w:rPr>
        <w:t>“The greatest value of a picture is when it forces us to notice what we never expected to see.”</w:t>
      </w:r>
      <w:r>
        <w:rPr>
          <w:bCs/>
        </w:rPr>
        <w:t xml:space="preserve">  </w:t>
      </w:r>
    </w:p>
    <w:p w:rsidR="009716C3" w:rsidRDefault="009716C3" w:rsidP="00DB0808"/>
    <w:p w:rsidR="009716C3" w:rsidRDefault="009716C3" w:rsidP="00DB0808">
      <w:r>
        <w:t xml:space="preserve">Common charts are </w:t>
      </w:r>
    </w:p>
    <w:p w:rsidR="001E11F7" w:rsidRDefault="001E11F7" w:rsidP="001E11F7">
      <w:pPr>
        <w:pStyle w:val="ListParagraph"/>
        <w:numPr>
          <w:ilvl w:val="0"/>
          <w:numId w:val="3"/>
        </w:numPr>
      </w:pPr>
      <w:r>
        <w:t>Line charts</w:t>
      </w:r>
    </w:p>
    <w:p w:rsidR="009716C3" w:rsidRDefault="009716C3" w:rsidP="009716C3">
      <w:pPr>
        <w:pStyle w:val="ListParagraph"/>
        <w:numPr>
          <w:ilvl w:val="0"/>
          <w:numId w:val="3"/>
        </w:numPr>
      </w:pPr>
      <w:r>
        <w:t>Column charts</w:t>
      </w:r>
    </w:p>
    <w:p w:rsidR="009716C3" w:rsidRDefault="009716C3" w:rsidP="009716C3">
      <w:pPr>
        <w:pStyle w:val="ListParagraph"/>
        <w:numPr>
          <w:ilvl w:val="0"/>
          <w:numId w:val="3"/>
        </w:numPr>
      </w:pPr>
      <w:r>
        <w:t>Bar charts</w:t>
      </w:r>
    </w:p>
    <w:p w:rsidR="001E11F7" w:rsidRDefault="001E11F7" w:rsidP="009716C3">
      <w:pPr>
        <w:pStyle w:val="ListParagraph"/>
        <w:numPr>
          <w:ilvl w:val="0"/>
          <w:numId w:val="3"/>
        </w:numPr>
      </w:pPr>
      <w:r>
        <w:t>Pie charts</w:t>
      </w:r>
    </w:p>
    <w:p w:rsidR="009716C3" w:rsidRDefault="009716C3" w:rsidP="009716C3">
      <w:pPr>
        <w:pStyle w:val="ListParagraph"/>
        <w:numPr>
          <w:ilvl w:val="0"/>
          <w:numId w:val="3"/>
        </w:numPr>
      </w:pPr>
      <w:r>
        <w:t>Box and whisker charts</w:t>
      </w:r>
    </w:p>
    <w:p w:rsidR="009716C3" w:rsidRDefault="009716C3" w:rsidP="009716C3">
      <w:pPr>
        <w:pStyle w:val="ListParagraph"/>
        <w:numPr>
          <w:ilvl w:val="0"/>
          <w:numId w:val="3"/>
        </w:numPr>
      </w:pPr>
      <w:r>
        <w:t>Histograms</w:t>
      </w:r>
    </w:p>
    <w:p w:rsidR="001E11F7" w:rsidRDefault="001E11F7" w:rsidP="001E11F7">
      <w:pPr>
        <w:pStyle w:val="ListParagraph"/>
        <w:numPr>
          <w:ilvl w:val="0"/>
          <w:numId w:val="3"/>
        </w:numPr>
      </w:pPr>
      <w:r>
        <w:t>Scatter charts</w:t>
      </w:r>
    </w:p>
    <w:p w:rsidR="00637338" w:rsidRDefault="001E11F7" w:rsidP="00F35D47">
      <w:pPr>
        <w:rPr>
          <w:lang w:val="en-US"/>
        </w:rPr>
      </w:pPr>
      <w:r>
        <w:rPr>
          <w:lang w:val="en-US"/>
        </w:rPr>
        <w:t>Although some charts may be used to display a single variable, most are for comparisons and relationships.  Most comparisons are looking at summary measures, such as averages, percentages or totals.</w:t>
      </w:r>
    </w:p>
    <w:p w:rsidR="001E11F7" w:rsidRPr="0064415A" w:rsidRDefault="001E11F7" w:rsidP="0064415A">
      <w:pPr>
        <w:pStyle w:val="ListParagraph"/>
        <w:numPr>
          <w:ilvl w:val="1"/>
          <w:numId w:val="8"/>
        </w:numPr>
        <w:ind w:left="360"/>
        <w:rPr>
          <w:b/>
          <w:lang w:val="en-US"/>
        </w:rPr>
      </w:pPr>
      <w:r w:rsidRPr="0064415A">
        <w:rPr>
          <w:b/>
          <w:lang w:val="en-US"/>
        </w:rPr>
        <w:t xml:space="preserve">Line charts </w:t>
      </w:r>
      <w:r w:rsidRPr="0064415A">
        <w:rPr>
          <w:lang w:val="en-US"/>
        </w:rPr>
        <w:t xml:space="preserve">are frequently used for time series data.  Time series has not been covered in this course but is a very common area of investigation.  It can be looking at a single variable over time of we may wish to see how multiple variables change with time. </w:t>
      </w:r>
    </w:p>
    <w:p w:rsidR="004643DF" w:rsidRPr="004643DF" w:rsidRDefault="004643DF" w:rsidP="00F35D47">
      <w:pPr>
        <w:rPr>
          <w:lang w:val="en-US"/>
        </w:rPr>
      </w:pPr>
    </w:p>
    <w:p w:rsidR="00F35D47" w:rsidRDefault="001E11F7" w:rsidP="00F35D47">
      <w:pPr>
        <w:rPr>
          <w:lang w:val="en-US"/>
        </w:rPr>
      </w:pPr>
      <w:r>
        <w:rPr>
          <w:lang w:val="en-US"/>
        </w:rPr>
        <w:t xml:space="preserve"> Below is an example of a line chart showing the changing demographics of business enrolments at Nova Scotia universities.</w:t>
      </w:r>
    </w:p>
    <w:p w:rsidR="001E11F7" w:rsidRDefault="001E11F7" w:rsidP="00F35D47">
      <w:pPr>
        <w:rPr>
          <w:lang w:val="en-US"/>
        </w:rPr>
      </w:pPr>
      <w:r>
        <w:rPr>
          <w:noProof/>
        </w:rPr>
        <w:drawing>
          <wp:inline distT="0" distB="0" distL="0" distR="0" wp14:anchorId="00005E6D" wp14:editId="29331D51">
            <wp:extent cx="5841242" cy="2743200"/>
            <wp:effectExtent l="0" t="0" r="7620" b="0"/>
            <wp:docPr id="5" name="Chart 5">
              <a:extLst xmlns:a="http://schemas.openxmlformats.org/drawingml/2006/main">
                <a:ext uri="{FF2B5EF4-FFF2-40B4-BE49-F238E27FC236}">
                  <a16:creationId xmlns:a16="http://schemas.microsoft.com/office/drawing/2014/main" id="{003DD440-E462-4660-968E-6E47B8C6F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E11F7" w:rsidRDefault="001E11F7" w:rsidP="00F35D47">
      <w:pPr>
        <w:rPr>
          <w:lang w:val="en-US"/>
        </w:rPr>
      </w:pPr>
      <w:r>
        <w:rPr>
          <w:lang w:val="en-US"/>
        </w:rPr>
        <w:t>Some may choose to use a stacked line(area) chart, but they can become confusing.</w:t>
      </w:r>
    </w:p>
    <w:p w:rsidR="001E11F7" w:rsidRDefault="001E11F7" w:rsidP="00F35D47">
      <w:pPr>
        <w:rPr>
          <w:lang w:val="en-US"/>
        </w:rPr>
      </w:pPr>
      <w:r>
        <w:rPr>
          <w:noProof/>
        </w:rPr>
        <w:drawing>
          <wp:inline distT="0" distB="0" distL="0" distR="0" wp14:anchorId="00005E6D" wp14:editId="29331D51">
            <wp:extent cx="5725160" cy="2954740"/>
            <wp:effectExtent l="0" t="0" r="8890" b="17145"/>
            <wp:docPr id="3" name="Chart 3">
              <a:extLst xmlns:a="http://schemas.openxmlformats.org/drawingml/2006/main">
                <a:ext uri="{FF2B5EF4-FFF2-40B4-BE49-F238E27FC236}">
                  <a16:creationId xmlns:a16="http://schemas.microsoft.com/office/drawing/2014/main" id="{003DD440-E462-4660-968E-6E47B8C6F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1663F" w:rsidRDefault="00B1663F" w:rsidP="00F35D47">
      <w:pPr>
        <w:rPr>
          <w:lang w:val="en-US"/>
        </w:rPr>
      </w:pPr>
      <w:r>
        <w:rPr>
          <w:lang w:val="en-US"/>
        </w:rPr>
        <w:t>Although the chart tells you about total enrolment, whereas the previous one did not, it can be challenging to see how the components are changing over time since the baseline for each group drifts up and down.  The previous chart more clearly showed how each market was growing or shrinking.</w:t>
      </w:r>
    </w:p>
    <w:p w:rsidR="00B1663F" w:rsidRDefault="00B1663F" w:rsidP="00F35D47">
      <w:pPr>
        <w:rPr>
          <w:lang w:val="en-US"/>
        </w:rPr>
      </w:pPr>
      <w:r>
        <w:rPr>
          <w:lang w:val="en-US"/>
        </w:rPr>
        <w:t>What is the primary story that you are trying to tell?</w:t>
      </w:r>
    </w:p>
    <w:p w:rsidR="00272ED5" w:rsidRDefault="00272ED5" w:rsidP="00F35D47">
      <w:pPr>
        <w:rPr>
          <w:b/>
          <w:lang w:val="en-US"/>
        </w:rPr>
      </w:pPr>
    </w:p>
    <w:p w:rsidR="00272ED5" w:rsidRDefault="00272ED5" w:rsidP="00F35D47">
      <w:pPr>
        <w:rPr>
          <w:b/>
          <w:lang w:val="en-US"/>
        </w:rPr>
      </w:pPr>
    </w:p>
    <w:p w:rsidR="00B1663F" w:rsidRPr="0064415A" w:rsidRDefault="00B1663F" w:rsidP="0064415A">
      <w:pPr>
        <w:pStyle w:val="ListParagraph"/>
        <w:numPr>
          <w:ilvl w:val="1"/>
          <w:numId w:val="8"/>
        </w:numPr>
        <w:ind w:left="360"/>
        <w:rPr>
          <w:lang w:val="en-US"/>
        </w:rPr>
      </w:pPr>
      <w:r w:rsidRPr="0064415A">
        <w:rPr>
          <w:b/>
          <w:lang w:val="en-US"/>
        </w:rPr>
        <w:t>Pie Charts</w:t>
      </w:r>
      <w:r w:rsidRPr="0064415A">
        <w:rPr>
          <w:lang w:val="en-US"/>
        </w:rPr>
        <w:t xml:space="preserve"> are intended to show the percentage of individuals, sales, or some other total that is represented in each group.  Consider a firm that has 4 main products groups (A – D) that it sells in four European countries.  Total sales data for 2019 in $10,000 is given below:</w:t>
      </w:r>
    </w:p>
    <w:tbl>
      <w:tblPr>
        <w:tblStyle w:val="GridTable5Dark-Accent5"/>
        <w:tblW w:w="5182" w:type="dxa"/>
        <w:tblLook w:val="04A0" w:firstRow="1" w:lastRow="0" w:firstColumn="1" w:lastColumn="0" w:noHBand="0" w:noVBand="1"/>
      </w:tblPr>
      <w:tblGrid>
        <w:gridCol w:w="1342"/>
        <w:gridCol w:w="960"/>
        <w:gridCol w:w="960"/>
        <w:gridCol w:w="960"/>
        <w:gridCol w:w="960"/>
      </w:tblGrid>
      <w:tr w:rsidR="00B1663F" w:rsidRPr="00B1663F" w:rsidTr="00B1663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82" w:type="dxa"/>
            <w:gridSpan w:val="5"/>
            <w:noWrap/>
          </w:tcPr>
          <w:p w:rsidR="00B1663F" w:rsidRPr="00B1663F" w:rsidRDefault="00B1663F" w:rsidP="00B1663F">
            <w:pPr>
              <w:jc w:val="center"/>
              <w:rPr>
                <w:rFonts w:ascii="Calibri" w:eastAsia="Times New Roman" w:hAnsi="Calibri" w:cs="Calibri"/>
                <w:color w:val="000000"/>
                <w:lang w:eastAsia="en-CA"/>
              </w:rPr>
            </w:pPr>
            <w:r>
              <w:rPr>
                <w:rFonts w:ascii="Calibri" w:eastAsia="Times New Roman" w:hAnsi="Calibri" w:cs="Calibri"/>
                <w:color w:val="000000"/>
                <w:lang w:eastAsia="en-CA"/>
              </w:rPr>
              <w:t>2019 Total Sales in $10,000</w:t>
            </w:r>
          </w:p>
        </w:tc>
      </w:tr>
      <w:tr w:rsidR="00B1663F" w:rsidRPr="00B1663F" w:rsidTr="00B166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2" w:type="dxa"/>
            <w:noWrap/>
            <w:hideMark/>
          </w:tcPr>
          <w:p w:rsidR="00B1663F" w:rsidRPr="00B1663F" w:rsidRDefault="00B1663F" w:rsidP="00B1663F">
            <w:pPr>
              <w:rPr>
                <w:rFonts w:ascii="Times New Roman" w:eastAsia="Times New Roman" w:hAnsi="Times New Roman" w:cs="Times New Roman"/>
                <w:sz w:val="24"/>
                <w:szCs w:val="24"/>
                <w:lang w:eastAsia="en-CA"/>
              </w:rPr>
            </w:pP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A</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B</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C</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D</w:t>
            </w:r>
          </w:p>
        </w:tc>
      </w:tr>
      <w:tr w:rsidR="00B1663F" w:rsidRPr="00B1663F" w:rsidTr="00B1663F">
        <w:trPr>
          <w:trHeight w:val="300"/>
        </w:trPr>
        <w:tc>
          <w:tcPr>
            <w:cnfStyle w:val="001000000000" w:firstRow="0" w:lastRow="0" w:firstColumn="1" w:lastColumn="0" w:oddVBand="0" w:evenVBand="0" w:oddHBand="0" w:evenHBand="0" w:firstRowFirstColumn="0" w:firstRowLastColumn="0" w:lastRowFirstColumn="0" w:lastRowLastColumn="0"/>
            <w:tcW w:w="1342" w:type="dxa"/>
            <w:noWrap/>
            <w:hideMark/>
          </w:tcPr>
          <w:p w:rsidR="00B1663F" w:rsidRPr="00B1663F" w:rsidRDefault="00B1663F" w:rsidP="00B1663F">
            <w:pPr>
              <w:rPr>
                <w:rFonts w:ascii="Calibri" w:eastAsia="Times New Roman" w:hAnsi="Calibri" w:cs="Calibri"/>
                <w:color w:val="000000"/>
                <w:lang w:eastAsia="en-CA"/>
              </w:rPr>
            </w:pPr>
            <w:r w:rsidRPr="00B1663F">
              <w:rPr>
                <w:rFonts w:ascii="Calibri" w:eastAsia="Times New Roman" w:hAnsi="Calibri" w:cs="Calibri"/>
                <w:color w:val="000000"/>
                <w:lang w:eastAsia="en-CA"/>
              </w:rPr>
              <w:t>Netherlands</w:t>
            </w:r>
          </w:p>
        </w:tc>
        <w:tc>
          <w:tcPr>
            <w:tcW w:w="960" w:type="dxa"/>
            <w:noWrap/>
            <w:hideMark/>
          </w:tcPr>
          <w:p w:rsidR="00B1663F" w:rsidRPr="00B1663F" w:rsidRDefault="00B1663F" w:rsidP="00B1663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20</w:t>
            </w:r>
          </w:p>
        </w:tc>
        <w:tc>
          <w:tcPr>
            <w:tcW w:w="960" w:type="dxa"/>
            <w:noWrap/>
            <w:hideMark/>
          </w:tcPr>
          <w:p w:rsidR="00B1663F" w:rsidRPr="00B1663F" w:rsidRDefault="00B1663F" w:rsidP="00B1663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33</w:t>
            </w:r>
          </w:p>
        </w:tc>
        <w:tc>
          <w:tcPr>
            <w:tcW w:w="960" w:type="dxa"/>
            <w:noWrap/>
            <w:hideMark/>
          </w:tcPr>
          <w:p w:rsidR="00B1663F" w:rsidRPr="00B1663F" w:rsidRDefault="00B1663F" w:rsidP="00B1663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10</w:t>
            </w:r>
          </w:p>
        </w:tc>
        <w:tc>
          <w:tcPr>
            <w:tcW w:w="960" w:type="dxa"/>
            <w:noWrap/>
            <w:hideMark/>
          </w:tcPr>
          <w:p w:rsidR="00B1663F" w:rsidRPr="00B1663F" w:rsidRDefault="00B1663F" w:rsidP="00B1663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30</w:t>
            </w:r>
          </w:p>
        </w:tc>
      </w:tr>
      <w:tr w:rsidR="00B1663F" w:rsidRPr="00B1663F" w:rsidTr="00B166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2" w:type="dxa"/>
            <w:noWrap/>
            <w:hideMark/>
          </w:tcPr>
          <w:p w:rsidR="00B1663F" w:rsidRPr="00B1663F" w:rsidRDefault="00B1663F" w:rsidP="00B1663F">
            <w:pPr>
              <w:rPr>
                <w:rFonts w:ascii="Calibri" w:eastAsia="Times New Roman" w:hAnsi="Calibri" w:cs="Calibri"/>
                <w:color w:val="000000"/>
                <w:lang w:eastAsia="en-CA"/>
              </w:rPr>
            </w:pPr>
            <w:r w:rsidRPr="00B1663F">
              <w:rPr>
                <w:rFonts w:ascii="Calibri" w:eastAsia="Times New Roman" w:hAnsi="Calibri" w:cs="Calibri"/>
                <w:color w:val="000000"/>
                <w:lang w:eastAsia="en-CA"/>
              </w:rPr>
              <w:t>Austria</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35</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24</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20</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30</w:t>
            </w:r>
          </w:p>
        </w:tc>
      </w:tr>
      <w:tr w:rsidR="00B1663F" w:rsidRPr="00B1663F" w:rsidTr="00B1663F">
        <w:trPr>
          <w:trHeight w:val="300"/>
        </w:trPr>
        <w:tc>
          <w:tcPr>
            <w:cnfStyle w:val="001000000000" w:firstRow="0" w:lastRow="0" w:firstColumn="1" w:lastColumn="0" w:oddVBand="0" w:evenVBand="0" w:oddHBand="0" w:evenHBand="0" w:firstRowFirstColumn="0" w:firstRowLastColumn="0" w:lastRowFirstColumn="0" w:lastRowLastColumn="0"/>
            <w:tcW w:w="1342" w:type="dxa"/>
            <w:noWrap/>
            <w:hideMark/>
          </w:tcPr>
          <w:p w:rsidR="00B1663F" w:rsidRPr="00B1663F" w:rsidRDefault="00B1663F" w:rsidP="00B1663F">
            <w:pPr>
              <w:rPr>
                <w:rFonts w:ascii="Calibri" w:eastAsia="Times New Roman" w:hAnsi="Calibri" w:cs="Calibri"/>
                <w:color w:val="000000"/>
                <w:lang w:eastAsia="en-CA"/>
              </w:rPr>
            </w:pPr>
            <w:r w:rsidRPr="00B1663F">
              <w:rPr>
                <w:rFonts w:ascii="Calibri" w:eastAsia="Times New Roman" w:hAnsi="Calibri" w:cs="Calibri"/>
                <w:color w:val="000000"/>
                <w:lang w:eastAsia="en-CA"/>
              </w:rPr>
              <w:t>Belgium</w:t>
            </w:r>
          </w:p>
        </w:tc>
        <w:tc>
          <w:tcPr>
            <w:tcW w:w="960" w:type="dxa"/>
            <w:noWrap/>
            <w:hideMark/>
          </w:tcPr>
          <w:p w:rsidR="00B1663F" w:rsidRPr="00B1663F" w:rsidRDefault="00B1663F" w:rsidP="00B1663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16</w:t>
            </w:r>
          </w:p>
        </w:tc>
        <w:tc>
          <w:tcPr>
            <w:tcW w:w="960" w:type="dxa"/>
            <w:noWrap/>
            <w:hideMark/>
          </w:tcPr>
          <w:p w:rsidR="00B1663F" w:rsidRPr="00B1663F" w:rsidRDefault="00B1663F" w:rsidP="00B1663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43</w:t>
            </w:r>
          </w:p>
        </w:tc>
        <w:tc>
          <w:tcPr>
            <w:tcW w:w="960" w:type="dxa"/>
            <w:noWrap/>
            <w:hideMark/>
          </w:tcPr>
          <w:p w:rsidR="00B1663F" w:rsidRPr="00B1663F" w:rsidRDefault="00B1663F" w:rsidP="00B1663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25</w:t>
            </w:r>
          </w:p>
        </w:tc>
        <w:tc>
          <w:tcPr>
            <w:tcW w:w="960" w:type="dxa"/>
            <w:noWrap/>
            <w:hideMark/>
          </w:tcPr>
          <w:p w:rsidR="00B1663F" w:rsidRPr="00B1663F" w:rsidRDefault="00B1663F" w:rsidP="00B1663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50</w:t>
            </w:r>
          </w:p>
        </w:tc>
      </w:tr>
      <w:tr w:rsidR="00B1663F" w:rsidRPr="00B1663F" w:rsidTr="00B166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2" w:type="dxa"/>
            <w:noWrap/>
            <w:hideMark/>
          </w:tcPr>
          <w:p w:rsidR="00B1663F" w:rsidRPr="00B1663F" w:rsidRDefault="00B1663F" w:rsidP="00B1663F">
            <w:pPr>
              <w:rPr>
                <w:rFonts w:ascii="Calibri" w:eastAsia="Times New Roman" w:hAnsi="Calibri" w:cs="Calibri"/>
                <w:color w:val="000000"/>
                <w:lang w:eastAsia="en-CA"/>
              </w:rPr>
            </w:pPr>
            <w:r w:rsidRPr="00B1663F">
              <w:rPr>
                <w:rFonts w:ascii="Calibri" w:eastAsia="Times New Roman" w:hAnsi="Calibri" w:cs="Calibri"/>
                <w:color w:val="000000"/>
                <w:lang w:eastAsia="en-CA"/>
              </w:rPr>
              <w:t>Norway</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42</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52</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30</w:t>
            </w:r>
          </w:p>
        </w:tc>
        <w:tc>
          <w:tcPr>
            <w:tcW w:w="960" w:type="dxa"/>
            <w:noWrap/>
            <w:hideMark/>
          </w:tcPr>
          <w:p w:rsidR="00B1663F" w:rsidRPr="00B1663F" w:rsidRDefault="00B1663F" w:rsidP="00B1663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CA"/>
              </w:rPr>
            </w:pPr>
            <w:r w:rsidRPr="00B1663F">
              <w:rPr>
                <w:rFonts w:ascii="Calibri" w:eastAsia="Times New Roman" w:hAnsi="Calibri" w:cs="Calibri"/>
                <w:color w:val="000000"/>
                <w:lang w:eastAsia="en-CA"/>
              </w:rPr>
              <w:t>35</w:t>
            </w:r>
          </w:p>
        </w:tc>
      </w:tr>
    </w:tbl>
    <w:p w:rsidR="00B1663F" w:rsidRDefault="00B1663F" w:rsidP="00F35D47">
      <w:pPr>
        <w:rPr>
          <w:lang w:val="en-US"/>
        </w:rPr>
      </w:pPr>
    </w:p>
    <w:p w:rsidR="00B1663F" w:rsidRDefault="00B1663F" w:rsidP="00F35D47">
      <w:pPr>
        <w:rPr>
          <w:lang w:val="en-US"/>
        </w:rPr>
      </w:pPr>
      <w:r>
        <w:rPr>
          <w:lang w:val="en-US"/>
        </w:rPr>
        <w:t>The table is not very interesting.  The choice of units is poor.  Multiples of $1,000 would be easier to interpret.  Is there a story to tell?</w:t>
      </w:r>
    </w:p>
    <w:p w:rsidR="00BA72B7" w:rsidRDefault="00BA72B7" w:rsidP="00F35D47">
      <w:pPr>
        <w:rPr>
          <w:lang w:val="en-US"/>
        </w:rPr>
      </w:pPr>
      <w:r>
        <w:rPr>
          <w:lang w:val="en-US"/>
        </w:rPr>
        <w:t>You might want to make a pie chart to show how sales in the Netherlands are split among the 4 product groups.</w:t>
      </w:r>
    </w:p>
    <w:p w:rsidR="00BA72B7" w:rsidRDefault="00BA72B7" w:rsidP="00F35D47">
      <w:pPr>
        <w:rPr>
          <w:lang w:val="en-US"/>
        </w:rPr>
      </w:pPr>
      <w:r>
        <w:rPr>
          <w:noProof/>
        </w:rPr>
        <w:drawing>
          <wp:anchor distT="0" distB="0" distL="114300" distR="114300" simplePos="0" relativeHeight="251658240" behindDoc="0" locked="0" layoutInCell="1" allowOverlap="1" wp14:anchorId="5A6BC9BF">
            <wp:simplePos x="0" y="0"/>
            <wp:positionH relativeFrom="column">
              <wp:posOffset>0</wp:posOffset>
            </wp:positionH>
            <wp:positionV relativeFrom="paragraph">
              <wp:posOffset>0</wp:posOffset>
            </wp:positionV>
            <wp:extent cx="3097530" cy="1862455"/>
            <wp:effectExtent l="0" t="0" r="7620" b="4445"/>
            <wp:wrapSquare wrapText="bothSides"/>
            <wp:docPr id="4" name="Chart 4">
              <a:extLst xmlns:a="http://schemas.openxmlformats.org/drawingml/2006/main">
                <a:ext uri="{FF2B5EF4-FFF2-40B4-BE49-F238E27FC236}">
                  <a16:creationId xmlns:a16="http://schemas.microsoft.com/office/drawing/2014/main" id="{B2557B48-FE32-4F85-B34F-04C55CEB1B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Pr>
          <w:lang w:val="en-US"/>
        </w:rPr>
        <w:t xml:space="preserve"> It might be easier to read if the slices were labelled and percentages were shown.</w:t>
      </w:r>
    </w:p>
    <w:p w:rsidR="00BA72B7" w:rsidRDefault="00BA72B7" w:rsidP="00F35D47">
      <w:pPr>
        <w:rPr>
          <w:lang w:val="en-US"/>
        </w:rPr>
      </w:pPr>
      <w:r>
        <w:rPr>
          <w:noProof/>
        </w:rPr>
        <w:drawing>
          <wp:inline distT="0" distB="0" distL="0" distR="0" wp14:anchorId="04881315" wp14:editId="7350C0A0">
            <wp:extent cx="3098042" cy="2299647"/>
            <wp:effectExtent l="0" t="0" r="7620" b="5715"/>
            <wp:docPr id="6" name="Chart 6">
              <a:extLst xmlns:a="http://schemas.openxmlformats.org/drawingml/2006/main">
                <a:ext uri="{FF2B5EF4-FFF2-40B4-BE49-F238E27FC236}">
                  <a16:creationId xmlns:a16="http://schemas.microsoft.com/office/drawing/2014/main" id="{B2557B48-FE32-4F85-B34F-04C55CEB1B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A72B7" w:rsidRDefault="00BA72B7" w:rsidP="00F35D47">
      <w:pPr>
        <w:rPr>
          <w:lang w:val="en-US"/>
        </w:rPr>
      </w:pPr>
      <w:r>
        <w:rPr>
          <w:lang w:val="en-US"/>
        </w:rPr>
        <w:t xml:space="preserve">Comparing the relative sizes of slices is not simple.  Does C look to be half the size of A and a third the size of D or B?  Can you tell that A plus C is approximately the same as D?  Comparing areas is not easy.  Comparing them in a circular manner is even harder.  And don’t </w:t>
      </w:r>
      <w:r w:rsidR="00272ED5">
        <w:rPr>
          <w:lang w:val="en-US"/>
        </w:rPr>
        <w:t>try</w:t>
      </w:r>
      <w:r>
        <w:rPr>
          <w:lang w:val="en-US"/>
        </w:rPr>
        <w:t xml:space="preserve"> making it </w:t>
      </w:r>
      <w:r w:rsidR="00272ED5">
        <w:rPr>
          <w:lang w:val="en-US"/>
        </w:rPr>
        <w:t>a work of art</w:t>
      </w:r>
      <w:r>
        <w:rPr>
          <w:lang w:val="en-US"/>
        </w:rPr>
        <w:t xml:space="preserve"> by adding 3D perspective!</w:t>
      </w:r>
    </w:p>
    <w:p w:rsidR="00BA72B7" w:rsidRDefault="00BA72B7" w:rsidP="00F35D47">
      <w:pPr>
        <w:rPr>
          <w:lang w:val="en-US"/>
        </w:rPr>
      </w:pPr>
      <w:r>
        <w:rPr>
          <w:noProof/>
        </w:rPr>
        <w:drawing>
          <wp:inline distT="0" distB="0" distL="0" distR="0" wp14:anchorId="4AE13CAA" wp14:editId="3DE1122F">
            <wp:extent cx="3098042" cy="2299647"/>
            <wp:effectExtent l="0" t="0" r="7620" b="5715"/>
            <wp:docPr id="7" name="Chart 7">
              <a:extLst xmlns:a="http://schemas.openxmlformats.org/drawingml/2006/main">
                <a:ext uri="{FF2B5EF4-FFF2-40B4-BE49-F238E27FC236}">
                  <a16:creationId xmlns:a16="http://schemas.microsoft.com/office/drawing/2014/main" id="{B2557B48-FE32-4F85-B34F-04C55CEB1B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A72B7" w:rsidRDefault="00BA72B7" w:rsidP="00F35D47">
      <w:pPr>
        <w:rPr>
          <w:lang w:val="en-US"/>
        </w:rPr>
      </w:pPr>
      <w:r>
        <w:rPr>
          <w:lang w:val="en-US"/>
        </w:rPr>
        <w:t xml:space="preserve">Now try comparing the relative shares of A, B, C and D.  This is </w:t>
      </w:r>
      <w:r>
        <w:rPr>
          <w:b/>
          <w:lang w:val="en-US"/>
        </w:rPr>
        <w:t>Chart Junk</w:t>
      </w:r>
      <w:r>
        <w:rPr>
          <w:lang w:val="en-US"/>
        </w:rPr>
        <w:t xml:space="preserve">.  </w:t>
      </w:r>
      <w:r>
        <w:rPr>
          <w:b/>
          <w:lang w:val="en-US"/>
        </w:rPr>
        <w:t xml:space="preserve">Never add 3D perspective to </w:t>
      </w:r>
      <w:r w:rsidR="009C2C4D">
        <w:rPr>
          <w:b/>
          <w:lang w:val="en-US"/>
        </w:rPr>
        <w:t>a chart that is two dimensional!</w:t>
      </w:r>
    </w:p>
    <w:p w:rsidR="009C2C4D" w:rsidRDefault="009C2C4D" w:rsidP="00F35D47">
      <w:pPr>
        <w:rPr>
          <w:lang w:val="en-US"/>
        </w:rPr>
      </w:pPr>
      <w:r>
        <w:rPr>
          <w:lang w:val="en-US"/>
        </w:rPr>
        <w:t>Recall</w:t>
      </w:r>
      <w:r w:rsidR="00DE44FD">
        <w:rPr>
          <w:lang w:val="en-US"/>
        </w:rPr>
        <w:t xml:space="preserve"> </w:t>
      </w:r>
      <w:r w:rsidR="00C96003">
        <w:rPr>
          <w:lang w:val="en-US"/>
        </w:rPr>
        <w:t>that initially we wanted to compare sales by product and by country.  To do this with pie charts requires that we have charts for each product or for each country.  Below are charts by country.</w:t>
      </w:r>
    </w:p>
    <w:tbl>
      <w:tblPr>
        <w:tblStyle w:val="TableGrid"/>
        <w:tblW w:w="0" w:type="auto"/>
        <w:tblLook w:val="04A0" w:firstRow="1" w:lastRow="0" w:firstColumn="1" w:lastColumn="0" w:noHBand="0" w:noVBand="1"/>
      </w:tblPr>
      <w:tblGrid>
        <w:gridCol w:w="4574"/>
        <w:gridCol w:w="4776"/>
      </w:tblGrid>
      <w:tr w:rsidR="007C65E0" w:rsidTr="007C65E0">
        <w:tc>
          <w:tcPr>
            <w:tcW w:w="4746" w:type="dxa"/>
          </w:tcPr>
          <w:p w:rsidR="007C65E0" w:rsidRDefault="007C65E0" w:rsidP="00F35D47">
            <w:pPr>
              <w:rPr>
                <w:lang w:val="en-US"/>
              </w:rPr>
            </w:pPr>
            <w:r>
              <w:rPr>
                <w:noProof/>
              </w:rPr>
              <w:drawing>
                <wp:anchor distT="0" distB="0" distL="114300" distR="114300" simplePos="0" relativeHeight="251661312" behindDoc="0" locked="0" layoutInCell="1" allowOverlap="1" wp14:anchorId="2B0EBDCC" wp14:editId="6F941027">
                  <wp:simplePos x="0" y="0"/>
                  <wp:positionH relativeFrom="column">
                    <wp:posOffset>-3810</wp:posOffset>
                  </wp:positionH>
                  <wp:positionV relativeFrom="paragraph">
                    <wp:posOffset>171450</wp:posOffset>
                  </wp:positionV>
                  <wp:extent cx="2865120" cy="1807845"/>
                  <wp:effectExtent l="0" t="0" r="11430" b="1905"/>
                  <wp:wrapSquare wrapText="bothSides"/>
                  <wp:docPr id="8" name="Chart 8">
                    <a:extLst xmlns:a="http://schemas.openxmlformats.org/drawingml/2006/main">
                      <a:ext uri="{FF2B5EF4-FFF2-40B4-BE49-F238E27FC236}">
                        <a16:creationId xmlns:a16="http://schemas.microsoft.com/office/drawing/2014/main" id="{B2557B48-FE32-4F85-B34F-04C55CEB1B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tc>
        <w:tc>
          <w:tcPr>
            <w:tcW w:w="4604" w:type="dxa"/>
          </w:tcPr>
          <w:p w:rsidR="007C65E0" w:rsidRDefault="007C65E0" w:rsidP="00F35D47">
            <w:pPr>
              <w:rPr>
                <w:lang w:val="en-US"/>
              </w:rPr>
            </w:pPr>
            <w:r>
              <w:rPr>
                <w:noProof/>
              </w:rPr>
              <w:drawing>
                <wp:anchor distT="0" distB="0" distL="114300" distR="114300" simplePos="0" relativeHeight="251663360" behindDoc="0" locked="0" layoutInCell="1" allowOverlap="1" wp14:anchorId="4607B45D" wp14:editId="309F28D4">
                  <wp:simplePos x="0" y="0"/>
                  <wp:positionH relativeFrom="column">
                    <wp:posOffset>-48895</wp:posOffset>
                  </wp:positionH>
                  <wp:positionV relativeFrom="paragraph">
                    <wp:posOffset>21590</wp:posOffset>
                  </wp:positionV>
                  <wp:extent cx="2994660" cy="1910080"/>
                  <wp:effectExtent l="0" t="0" r="15240" b="13970"/>
                  <wp:wrapSquare wrapText="bothSides"/>
                  <wp:docPr id="9" name="Chart 9">
                    <a:extLst xmlns:a="http://schemas.openxmlformats.org/drawingml/2006/main">
                      <a:ext uri="{FF2B5EF4-FFF2-40B4-BE49-F238E27FC236}">
                        <a16:creationId xmlns:a16="http://schemas.microsoft.com/office/drawing/2014/main" id="{37468C0B-7610-43AF-9EE3-5D8C84249D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tc>
      </w:tr>
      <w:tr w:rsidR="007C65E0" w:rsidTr="007C65E0">
        <w:tc>
          <w:tcPr>
            <w:tcW w:w="4746" w:type="dxa"/>
          </w:tcPr>
          <w:p w:rsidR="007C65E0" w:rsidRDefault="007C65E0" w:rsidP="00F35D47">
            <w:pPr>
              <w:rPr>
                <w:lang w:val="en-US"/>
              </w:rPr>
            </w:pPr>
            <w:r>
              <w:rPr>
                <w:noProof/>
              </w:rPr>
              <w:drawing>
                <wp:inline distT="0" distB="0" distL="0" distR="0" wp14:anchorId="2F6352DB" wp14:editId="106E7A59">
                  <wp:extent cx="2858770" cy="1944805"/>
                  <wp:effectExtent l="0" t="0" r="17780" b="17780"/>
                  <wp:docPr id="10" name="Chart 10">
                    <a:extLst xmlns:a="http://schemas.openxmlformats.org/drawingml/2006/main">
                      <a:ext uri="{FF2B5EF4-FFF2-40B4-BE49-F238E27FC236}">
                        <a16:creationId xmlns:a16="http://schemas.microsoft.com/office/drawing/2014/main" id="{7A04570E-8EEE-4937-A532-6DD1E32751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604" w:type="dxa"/>
          </w:tcPr>
          <w:p w:rsidR="007C65E0" w:rsidRDefault="007C65E0" w:rsidP="00F35D47">
            <w:pPr>
              <w:rPr>
                <w:lang w:val="en-US"/>
              </w:rPr>
            </w:pPr>
            <w:r>
              <w:rPr>
                <w:noProof/>
              </w:rPr>
              <w:drawing>
                <wp:inline distT="0" distB="0" distL="0" distR="0" wp14:anchorId="31602B23" wp14:editId="5163AF03">
                  <wp:extent cx="2934269" cy="1903863"/>
                  <wp:effectExtent l="0" t="0" r="0" b="1270"/>
                  <wp:docPr id="11" name="Chart 11">
                    <a:extLst xmlns:a="http://schemas.openxmlformats.org/drawingml/2006/main">
                      <a:ext uri="{FF2B5EF4-FFF2-40B4-BE49-F238E27FC236}">
                        <a16:creationId xmlns:a16="http://schemas.microsoft.com/office/drawing/2014/main" id="{95580647-DA69-4D4E-A3E9-1756CC1957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rsidR="007C65E0" w:rsidRDefault="007C65E0" w:rsidP="00F35D47">
      <w:pPr>
        <w:rPr>
          <w:lang w:val="en-US"/>
        </w:rPr>
      </w:pPr>
    </w:p>
    <w:p w:rsidR="00272ED5" w:rsidRDefault="007C65E0" w:rsidP="00F35D47">
      <w:pPr>
        <w:rPr>
          <w:lang w:val="en-US"/>
        </w:rPr>
      </w:pPr>
      <w:r>
        <w:rPr>
          <w:lang w:val="en-US"/>
        </w:rPr>
        <w:t xml:space="preserve">Comparing these is next to impossible.  Pie charts are colorful and pretty but convey very little information and what is conveyed is difficult to interpret.  </w:t>
      </w:r>
    </w:p>
    <w:p w:rsidR="00272ED5" w:rsidRDefault="00272ED5" w:rsidP="00F35D47">
      <w:pPr>
        <w:rPr>
          <w:lang w:val="en-US"/>
        </w:rPr>
      </w:pPr>
    </w:p>
    <w:p w:rsidR="007C65E0" w:rsidRDefault="007C65E0" w:rsidP="00F35D47">
      <w:pPr>
        <w:rPr>
          <w:b/>
          <w:lang w:val="en-US"/>
        </w:rPr>
      </w:pPr>
      <w:r>
        <w:rPr>
          <w:lang w:val="en-US"/>
        </w:rPr>
        <w:t xml:space="preserve">Lesson: </w:t>
      </w:r>
      <w:r w:rsidRPr="00B438AA">
        <w:rPr>
          <w:lang w:val="en-US"/>
        </w:rPr>
        <w:t>Nev</w:t>
      </w:r>
      <w:r w:rsidR="00B438AA" w:rsidRPr="00B438AA">
        <w:rPr>
          <w:lang w:val="en-US"/>
        </w:rPr>
        <w:t>e</w:t>
      </w:r>
      <w:r w:rsidRPr="00B438AA">
        <w:rPr>
          <w:lang w:val="en-US"/>
        </w:rPr>
        <w:t>r</w:t>
      </w:r>
      <w:r>
        <w:rPr>
          <w:b/>
          <w:lang w:val="en-US"/>
        </w:rPr>
        <w:t xml:space="preserve"> use pie charts!</w:t>
      </w:r>
    </w:p>
    <w:p w:rsidR="003343E6" w:rsidRDefault="003343E6" w:rsidP="00F35D47">
      <w:pPr>
        <w:rPr>
          <w:b/>
          <w:lang w:val="en-US"/>
        </w:rPr>
      </w:pPr>
    </w:p>
    <w:p w:rsidR="00200FFA" w:rsidRDefault="00200FFA">
      <w:pPr>
        <w:rPr>
          <w:b/>
          <w:lang w:val="en-US"/>
        </w:rPr>
      </w:pPr>
      <w:r>
        <w:rPr>
          <w:b/>
          <w:lang w:val="en-US"/>
        </w:rPr>
        <w:br w:type="page"/>
      </w:r>
    </w:p>
    <w:p w:rsidR="00B438AA" w:rsidRPr="0064415A" w:rsidRDefault="003343E6" w:rsidP="0064415A">
      <w:pPr>
        <w:pStyle w:val="ListParagraph"/>
        <w:numPr>
          <w:ilvl w:val="1"/>
          <w:numId w:val="8"/>
        </w:numPr>
        <w:ind w:left="360"/>
        <w:rPr>
          <w:lang w:val="en-US"/>
        </w:rPr>
      </w:pPr>
      <w:r w:rsidRPr="0064415A">
        <w:rPr>
          <w:b/>
          <w:lang w:val="en-US"/>
        </w:rPr>
        <w:t>Column Charts and Bar Charts</w:t>
      </w:r>
      <w:r w:rsidRPr="0064415A">
        <w:rPr>
          <w:lang w:val="en-US"/>
        </w:rPr>
        <w:t xml:space="preserve"> are generally seen as more appropriate than pie charts for comparing averages and percentages among groups.  Most of the time people prefer column charts.  We will show examples of bar charts and where to use them after exploring the use of column charts.</w:t>
      </w:r>
    </w:p>
    <w:p w:rsidR="003343E6" w:rsidRDefault="00200FFA" w:rsidP="00F35D47">
      <w:pPr>
        <w:rPr>
          <w:lang w:val="en-US"/>
        </w:rPr>
      </w:pPr>
      <w:r>
        <w:rPr>
          <w:lang w:val="en-US"/>
        </w:rPr>
        <w:t>A simple column chart might be the following:</w:t>
      </w:r>
    </w:p>
    <w:p w:rsidR="00200FFA" w:rsidRDefault="00200FFA" w:rsidP="00F35D47">
      <w:pPr>
        <w:rPr>
          <w:lang w:val="en-US"/>
        </w:rPr>
      </w:pPr>
      <w:r>
        <w:rPr>
          <w:noProof/>
        </w:rPr>
        <w:drawing>
          <wp:inline distT="0" distB="0" distL="0" distR="0" wp14:anchorId="0E10AEE1" wp14:editId="3111A2B7">
            <wp:extent cx="3446060" cy="1992573"/>
            <wp:effectExtent l="0" t="0" r="2540" b="8255"/>
            <wp:docPr id="12" name="Chart 12">
              <a:extLst xmlns:a="http://schemas.openxmlformats.org/drawingml/2006/main">
                <a:ext uri="{FF2B5EF4-FFF2-40B4-BE49-F238E27FC236}">
                  <a16:creationId xmlns:a16="http://schemas.microsoft.com/office/drawing/2014/main" id="{6CB7B327-CA84-458C-B2FC-647A93BC5B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00FFA" w:rsidRDefault="00200FFA" w:rsidP="00F35D47">
      <w:pPr>
        <w:rPr>
          <w:lang w:val="en-US"/>
        </w:rPr>
      </w:pPr>
      <w:r>
        <w:rPr>
          <w:lang w:val="en-US"/>
        </w:rPr>
        <w:t xml:space="preserve">This chart shows </w:t>
      </w:r>
      <w:r>
        <w:rPr>
          <w:b/>
          <w:lang w:val="en-US"/>
        </w:rPr>
        <w:t>total</w:t>
      </w:r>
      <w:r>
        <w:rPr>
          <w:lang w:val="en-US"/>
        </w:rPr>
        <w:t xml:space="preserve"> sales.  Clearly, Norway has greater overall sales than the Netherlands.  The countries were sequenced such that they were in increasing order of total sales.  You may also want to sequence the products in order of increasing sales, but you should keep the same sequence for each country.</w:t>
      </w:r>
      <w:r w:rsidR="00DC4B01">
        <w:rPr>
          <w:lang w:val="en-US"/>
        </w:rPr>
        <w:t xml:space="preserve">  </w:t>
      </w:r>
    </w:p>
    <w:p w:rsidR="00200FFA" w:rsidRDefault="00DC4B01" w:rsidP="00F35D47">
      <w:pPr>
        <w:rPr>
          <w:lang w:val="en-US"/>
        </w:rPr>
      </w:pPr>
      <w:r>
        <w:rPr>
          <w:noProof/>
        </w:rPr>
        <w:drawing>
          <wp:inline distT="0" distB="0" distL="0" distR="0" wp14:anchorId="40AB07F9" wp14:editId="7C5DA64F">
            <wp:extent cx="3609833" cy="2108579"/>
            <wp:effectExtent l="0" t="0" r="10160" b="6350"/>
            <wp:docPr id="14" name="Chart 14">
              <a:extLst xmlns:a="http://schemas.openxmlformats.org/drawingml/2006/main">
                <a:ext uri="{FF2B5EF4-FFF2-40B4-BE49-F238E27FC236}">
                  <a16:creationId xmlns:a16="http://schemas.microsoft.com/office/drawing/2014/main" id="{91537785-578B-41AC-A930-4B7D984267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00FFA" w:rsidRDefault="00200FFA" w:rsidP="00F35D47">
      <w:pPr>
        <w:rPr>
          <w:lang w:val="en-US"/>
        </w:rPr>
      </w:pPr>
      <w:r>
        <w:rPr>
          <w:lang w:val="en-US"/>
        </w:rPr>
        <w:t>If you want to show how sales in each market varies across products (like a pie chart would show) then you need to scale your data</w:t>
      </w:r>
      <w:r w:rsidR="00DC4B01">
        <w:rPr>
          <w:lang w:val="en-US"/>
        </w:rPr>
        <w:t xml:space="preserve"> to show percentages.  The simplest way to do this is to use a stacked column chart.</w:t>
      </w:r>
    </w:p>
    <w:tbl>
      <w:tblPr>
        <w:tblStyle w:val="TableGrid"/>
        <w:tblW w:w="0" w:type="auto"/>
        <w:tblLook w:val="04A0" w:firstRow="1" w:lastRow="0" w:firstColumn="1" w:lastColumn="0" w:noHBand="0" w:noVBand="1"/>
      </w:tblPr>
      <w:tblGrid>
        <w:gridCol w:w="4852"/>
        <w:gridCol w:w="4498"/>
      </w:tblGrid>
      <w:tr w:rsidR="00DC4B01" w:rsidTr="00DC4B01">
        <w:tc>
          <w:tcPr>
            <w:tcW w:w="4926" w:type="dxa"/>
          </w:tcPr>
          <w:p w:rsidR="00DC4B01" w:rsidRDefault="00DC4B01" w:rsidP="00F35D47">
            <w:pPr>
              <w:rPr>
                <w:lang w:val="en-US"/>
              </w:rPr>
            </w:pPr>
            <w:r>
              <w:rPr>
                <w:noProof/>
              </w:rPr>
              <w:drawing>
                <wp:inline distT="0" distB="0" distL="0" distR="0" wp14:anchorId="0EEA3CBA" wp14:editId="4B2855D4">
                  <wp:extent cx="2975212" cy="2286000"/>
                  <wp:effectExtent l="0" t="0" r="15875" b="0"/>
                  <wp:docPr id="15" name="Chart 15">
                    <a:extLst xmlns:a="http://schemas.openxmlformats.org/drawingml/2006/main">
                      <a:ext uri="{FF2B5EF4-FFF2-40B4-BE49-F238E27FC236}">
                        <a16:creationId xmlns:a16="http://schemas.microsoft.com/office/drawing/2014/main" id="{A8C84CA6-CDE7-4D2A-A970-DBE976AE51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424" w:type="dxa"/>
          </w:tcPr>
          <w:p w:rsidR="00DC4B01" w:rsidRDefault="00DC4B01" w:rsidP="00F35D47">
            <w:pPr>
              <w:rPr>
                <w:lang w:val="en-US"/>
              </w:rPr>
            </w:pPr>
            <w:r>
              <w:rPr>
                <w:noProof/>
              </w:rPr>
              <w:drawing>
                <wp:inline distT="0" distB="0" distL="0" distR="0" wp14:anchorId="36778769" wp14:editId="6BC9D127">
                  <wp:extent cx="2756848" cy="2231409"/>
                  <wp:effectExtent l="0" t="0" r="5715" b="16510"/>
                  <wp:docPr id="16" name="Chart 16">
                    <a:extLst xmlns:a="http://schemas.openxmlformats.org/drawingml/2006/main">
                      <a:ext uri="{FF2B5EF4-FFF2-40B4-BE49-F238E27FC236}">
                        <a16:creationId xmlns:a16="http://schemas.microsoft.com/office/drawing/2014/main" id="{7A4DDBA2-5688-4746-9B74-99E69411DB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rsidR="00DC4B01" w:rsidRDefault="00DC4B01" w:rsidP="00F35D47">
      <w:pPr>
        <w:rPr>
          <w:lang w:val="en-US"/>
        </w:rPr>
      </w:pPr>
    </w:p>
    <w:p w:rsidR="00DC4B01" w:rsidRDefault="00DC4B01" w:rsidP="00F35D47">
      <w:pPr>
        <w:rPr>
          <w:lang w:val="en-US"/>
        </w:rPr>
      </w:pPr>
      <w:r>
        <w:rPr>
          <w:lang w:val="en-US"/>
        </w:rPr>
        <w:t xml:space="preserve">The chart on the </w:t>
      </w:r>
      <w:r w:rsidR="00272ED5">
        <w:rPr>
          <w:lang w:val="en-US"/>
        </w:rPr>
        <w:t xml:space="preserve">right </w:t>
      </w:r>
      <w:r>
        <w:rPr>
          <w:lang w:val="en-US"/>
        </w:rPr>
        <w:t>has percentage on the vertical scale.  Although quick and easy to create, stacked charts are not easy to read</w:t>
      </w:r>
      <w:r w:rsidR="00272ED5">
        <w:rPr>
          <w:lang w:val="en-US"/>
        </w:rPr>
        <w:t>, b</w:t>
      </w:r>
      <w:r>
        <w:rPr>
          <w:lang w:val="en-US"/>
        </w:rPr>
        <w:t>ecause the base keeps moving.  It would be better to scale the table to show percentage of total sales</w:t>
      </w:r>
      <w:r w:rsidR="000D07FD">
        <w:rPr>
          <w:lang w:val="en-US"/>
        </w:rPr>
        <w:t xml:space="preserve"> and then build a regular column chart.  This is easy to do if your summary is in a pivot table.</w:t>
      </w:r>
    </w:p>
    <w:p w:rsidR="000D07FD" w:rsidRPr="00200FFA" w:rsidRDefault="000D07FD" w:rsidP="00F35D47">
      <w:pPr>
        <w:rPr>
          <w:lang w:val="en-US"/>
        </w:rPr>
      </w:pPr>
    </w:p>
    <w:p w:rsidR="00C96003" w:rsidRDefault="000D07FD" w:rsidP="00F35D47">
      <w:pPr>
        <w:rPr>
          <w:lang w:val="en-US"/>
        </w:rPr>
      </w:pPr>
      <w:r>
        <w:rPr>
          <w:noProof/>
        </w:rPr>
        <w:drawing>
          <wp:inline distT="0" distB="0" distL="0" distR="0" wp14:anchorId="3CF95818" wp14:editId="44B55308">
            <wp:extent cx="3480179" cy="2190466"/>
            <wp:effectExtent l="0" t="0" r="6350" b="635"/>
            <wp:docPr id="17" name="Chart 17">
              <a:extLst xmlns:a="http://schemas.openxmlformats.org/drawingml/2006/main">
                <a:ext uri="{FF2B5EF4-FFF2-40B4-BE49-F238E27FC236}">
                  <a16:creationId xmlns:a16="http://schemas.microsoft.com/office/drawing/2014/main" id="{7DC1664A-518B-48F1-A5FA-E5FAB5C524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D07FD" w:rsidRDefault="000D07FD" w:rsidP="00F35D47">
      <w:pPr>
        <w:rPr>
          <w:lang w:val="en-US"/>
        </w:rPr>
      </w:pPr>
      <w:r>
        <w:rPr>
          <w:lang w:val="en-US"/>
        </w:rPr>
        <w:t>Note that it is very important to label the vertical axis appropriately.  In the above case, simply saying percentage does not tell us whether it is percentage of country sales or percentage of product sales.</w:t>
      </w:r>
    </w:p>
    <w:p w:rsidR="00272ED5" w:rsidRDefault="00272ED5" w:rsidP="00F35D47">
      <w:pPr>
        <w:rPr>
          <w:lang w:val="en-US"/>
        </w:rPr>
      </w:pPr>
      <w:r>
        <w:rPr>
          <w:lang w:val="en-US"/>
        </w:rPr>
        <w:t xml:space="preserve">Note that if you are using a Pivot Table/Chart combination, the default is to sort groups alphabetically.  I sorted the countries from smallest to largest total sales before I created the chart.  Pay particular attention to building charts that have one variable that is </w:t>
      </w:r>
      <w:r>
        <w:rPr>
          <w:b/>
          <w:lang w:val="en-US"/>
        </w:rPr>
        <w:t>ordinal</w:t>
      </w:r>
      <w:r>
        <w:rPr>
          <w:lang w:val="en-US"/>
        </w:rPr>
        <w:t xml:space="preserve">, such as </w:t>
      </w:r>
    </w:p>
    <w:p w:rsidR="00272ED5" w:rsidRDefault="00272ED5" w:rsidP="00272ED5">
      <w:pPr>
        <w:pStyle w:val="ListParagraph"/>
        <w:numPr>
          <w:ilvl w:val="0"/>
          <w:numId w:val="13"/>
        </w:numPr>
        <w:rPr>
          <w:lang w:val="en-US"/>
        </w:rPr>
      </w:pPr>
      <w:r w:rsidRPr="00272ED5">
        <w:rPr>
          <w:lang w:val="en-US"/>
        </w:rPr>
        <w:t>very satisfied</w:t>
      </w:r>
    </w:p>
    <w:p w:rsidR="00272ED5" w:rsidRDefault="00272ED5" w:rsidP="00272ED5">
      <w:pPr>
        <w:pStyle w:val="ListParagraph"/>
        <w:numPr>
          <w:ilvl w:val="0"/>
          <w:numId w:val="13"/>
        </w:numPr>
        <w:rPr>
          <w:lang w:val="en-US"/>
        </w:rPr>
      </w:pPr>
      <w:r>
        <w:rPr>
          <w:lang w:val="en-US"/>
        </w:rPr>
        <w:t>satisfied</w:t>
      </w:r>
    </w:p>
    <w:p w:rsidR="00272ED5" w:rsidRDefault="00272ED5" w:rsidP="00272ED5">
      <w:pPr>
        <w:pStyle w:val="ListParagraph"/>
        <w:numPr>
          <w:ilvl w:val="0"/>
          <w:numId w:val="13"/>
        </w:numPr>
        <w:rPr>
          <w:lang w:val="en-US"/>
        </w:rPr>
      </w:pPr>
      <w:r>
        <w:rPr>
          <w:lang w:val="en-US"/>
        </w:rPr>
        <w:t>neutral</w:t>
      </w:r>
    </w:p>
    <w:p w:rsidR="00272ED5" w:rsidRDefault="00272ED5" w:rsidP="00272ED5">
      <w:pPr>
        <w:pStyle w:val="ListParagraph"/>
        <w:numPr>
          <w:ilvl w:val="0"/>
          <w:numId w:val="13"/>
        </w:numPr>
        <w:rPr>
          <w:lang w:val="en-US"/>
        </w:rPr>
      </w:pPr>
      <w:r>
        <w:rPr>
          <w:lang w:val="en-US"/>
        </w:rPr>
        <w:t>dissatisfied</w:t>
      </w:r>
    </w:p>
    <w:p w:rsidR="00272ED5" w:rsidRPr="00272ED5" w:rsidRDefault="00272ED5" w:rsidP="00272ED5">
      <w:pPr>
        <w:pStyle w:val="ListParagraph"/>
        <w:numPr>
          <w:ilvl w:val="0"/>
          <w:numId w:val="13"/>
        </w:numPr>
        <w:rPr>
          <w:lang w:val="en-US"/>
        </w:rPr>
      </w:pPr>
      <w:r>
        <w:rPr>
          <w:lang w:val="en-US"/>
        </w:rPr>
        <w:t>very dissatisfied.</w:t>
      </w:r>
    </w:p>
    <w:p w:rsidR="000D07FD" w:rsidRDefault="00272ED5" w:rsidP="00F35D47">
      <w:pPr>
        <w:rPr>
          <w:lang w:val="en-US"/>
        </w:rPr>
      </w:pPr>
      <w:r>
        <w:rPr>
          <w:lang w:val="en-US"/>
        </w:rPr>
        <w:t>Unless you move roes/columns in your table, Excel may order the groups as</w:t>
      </w:r>
    </w:p>
    <w:p w:rsidR="00272ED5" w:rsidRDefault="00272ED5" w:rsidP="00272ED5">
      <w:pPr>
        <w:pStyle w:val="ListParagraph"/>
        <w:numPr>
          <w:ilvl w:val="0"/>
          <w:numId w:val="14"/>
        </w:numPr>
        <w:rPr>
          <w:lang w:val="en-US"/>
        </w:rPr>
      </w:pPr>
      <w:r>
        <w:rPr>
          <w:lang w:val="en-US"/>
        </w:rPr>
        <w:t>dissatisfied</w:t>
      </w:r>
    </w:p>
    <w:p w:rsidR="00272ED5" w:rsidRDefault="00272ED5" w:rsidP="00272ED5">
      <w:pPr>
        <w:pStyle w:val="ListParagraph"/>
        <w:numPr>
          <w:ilvl w:val="0"/>
          <w:numId w:val="14"/>
        </w:numPr>
        <w:rPr>
          <w:lang w:val="en-US"/>
        </w:rPr>
      </w:pPr>
      <w:r>
        <w:rPr>
          <w:lang w:val="en-US"/>
        </w:rPr>
        <w:t>neural</w:t>
      </w:r>
    </w:p>
    <w:p w:rsidR="00272ED5" w:rsidRDefault="00272ED5" w:rsidP="00272ED5">
      <w:pPr>
        <w:pStyle w:val="ListParagraph"/>
        <w:numPr>
          <w:ilvl w:val="0"/>
          <w:numId w:val="14"/>
        </w:numPr>
        <w:rPr>
          <w:lang w:val="en-US"/>
        </w:rPr>
      </w:pPr>
      <w:r>
        <w:rPr>
          <w:lang w:val="en-US"/>
        </w:rPr>
        <w:t>satisfied</w:t>
      </w:r>
    </w:p>
    <w:p w:rsidR="00272ED5" w:rsidRDefault="00272ED5" w:rsidP="00272ED5">
      <w:pPr>
        <w:pStyle w:val="ListParagraph"/>
        <w:numPr>
          <w:ilvl w:val="0"/>
          <w:numId w:val="14"/>
        </w:numPr>
        <w:rPr>
          <w:lang w:val="en-US"/>
        </w:rPr>
      </w:pPr>
      <w:r>
        <w:rPr>
          <w:lang w:val="en-US"/>
        </w:rPr>
        <w:t>very dissatisfied</w:t>
      </w:r>
    </w:p>
    <w:p w:rsidR="00272ED5" w:rsidRDefault="00272ED5" w:rsidP="00272ED5">
      <w:pPr>
        <w:pStyle w:val="ListParagraph"/>
        <w:numPr>
          <w:ilvl w:val="0"/>
          <w:numId w:val="14"/>
        </w:numPr>
        <w:rPr>
          <w:lang w:val="en-US"/>
        </w:rPr>
      </w:pPr>
      <w:r>
        <w:rPr>
          <w:lang w:val="en-US"/>
        </w:rPr>
        <w:t>very satisfied</w:t>
      </w:r>
    </w:p>
    <w:p w:rsidR="0064415A" w:rsidRDefault="0064415A" w:rsidP="0064415A">
      <w:pPr>
        <w:rPr>
          <w:lang w:val="en-US"/>
        </w:rPr>
      </w:pPr>
      <w:r>
        <w:rPr>
          <w:lang w:val="en-US"/>
        </w:rPr>
        <w:t>If you don’t get the order correct then the chart will look confusing and amateurish.</w:t>
      </w:r>
    </w:p>
    <w:p w:rsidR="0064415A" w:rsidRDefault="0064415A" w:rsidP="0064415A">
      <w:pPr>
        <w:rPr>
          <w:lang w:val="en-US"/>
        </w:rPr>
      </w:pPr>
      <w:r>
        <w:rPr>
          <w:lang w:val="en-US"/>
        </w:rPr>
        <w:t xml:space="preserve">Remember that if you data set is small, you may have to merge groups.  Having just </w:t>
      </w:r>
    </w:p>
    <w:p w:rsidR="0064415A" w:rsidRDefault="0064415A" w:rsidP="0064415A">
      <w:pPr>
        <w:pStyle w:val="ListParagraph"/>
        <w:numPr>
          <w:ilvl w:val="0"/>
          <w:numId w:val="15"/>
        </w:numPr>
        <w:rPr>
          <w:lang w:val="en-US"/>
        </w:rPr>
      </w:pPr>
      <w:r>
        <w:rPr>
          <w:lang w:val="en-US"/>
        </w:rPr>
        <w:t>dissatisfied</w:t>
      </w:r>
    </w:p>
    <w:p w:rsidR="0064415A" w:rsidRDefault="0064415A" w:rsidP="0064415A">
      <w:pPr>
        <w:pStyle w:val="ListParagraph"/>
        <w:numPr>
          <w:ilvl w:val="0"/>
          <w:numId w:val="15"/>
        </w:numPr>
        <w:rPr>
          <w:lang w:val="en-US"/>
        </w:rPr>
      </w:pPr>
      <w:r>
        <w:rPr>
          <w:lang w:val="en-US"/>
        </w:rPr>
        <w:t>neutral</w:t>
      </w:r>
    </w:p>
    <w:p w:rsidR="0064415A" w:rsidRDefault="0064415A" w:rsidP="0064415A">
      <w:pPr>
        <w:pStyle w:val="ListParagraph"/>
        <w:numPr>
          <w:ilvl w:val="0"/>
          <w:numId w:val="15"/>
        </w:numPr>
        <w:rPr>
          <w:lang w:val="en-US"/>
        </w:rPr>
      </w:pPr>
      <w:r>
        <w:rPr>
          <w:lang w:val="en-US"/>
        </w:rPr>
        <w:t>satisfied</w:t>
      </w:r>
    </w:p>
    <w:p w:rsidR="0064415A" w:rsidRDefault="0064415A" w:rsidP="0064415A">
      <w:pPr>
        <w:rPr>
          <w:lang w:val="en-US"/>
        </w:rPr>
      </w:pPr>
      <w:r>
        <w:rPr>
          <w:lang w:val="en-US"/>
        </w:rPr>
        <w:t>may not result in a significant loss of important information and may make things easier to read.</w:t>
      </w:r>
    </w:p>
    <w:p w:rsidR="0064415A" w:rsidRDefault="0064415A" w:rsidP="0064415A">
      <w:pPr>
        <w:rPr>
          <w:lang w:val="en-US"/>
        </w:rPr>
      </w:pPr>
    </w:p>
    <w:p w:rsidR="0064415A" w:rsidRPr="0064415A" w:rsidRDefault="0064415A" w:rsidP="0064415A">
      <w:pPr>
        <w:rPr>
          <w:lang w:val="en-US"/>
        </w:rPr>
      </w:pPr>
      <w:r>
        <w:rPr>
          <w:lang w:val="en-US"/>
        </w:rPr>
        <w:t xml:space="preserve">If you have </w:t>
      </w:r>
      <w:r w:rsidRPr="0064415A">
        <w:rPr>
          <w:b/>
          <w:lang w:val="en-US"/>
        </w:rPr>
        <w:t>nominal groups</w:t>
      </w:r>
      <w:r>
        <w:rPr>
          <w:lang w:val="en-US"/>
        </w:rPr>
        <w:t>, such as Nova Scotia, Rest of Canada, Caribbean, Africa, South Asia, China, Other, then you may want to sequence them in terms of number of students (largest group first) or in terms of distance from Halifax, or some other measure that makes sense.  Alphabetic listing is likely the worst choice.</w:t>
      </w:r>
    </w:p>
    <w:p w:rsidR="004506BE" w:rsidRDefault="004506BE">
      <w:pPr>
        <w:rPr>
          <w:b/>
          <w:lang w:val="en-US"/>
        </w:rPr>
      </w:pPr>
      <w:r>
        <w:rPr>
          <w:b/>
          <w:lang w:val="en-US"/>
        </w:rPr>
        <w:br w:type="page"/>
      </w:r>
    </w:p>
    <w:p w:rsidR="004506BE" w:rsidRPr="001C1F8F" w:rsidRDefault="004506BE" w:rsidP="001C1F8F">
      <w:pPr>
        <w:pStyle w:val="ListParagraph"/>
        <w:numPr>
          <w:ilvl w:val="1"/>
          <w:numId w:val="8"/>
        </w:numPr>
        <w:ind w:left="360"/>
        <w:rPr>
          <w:lang w:val="en-US"/>
        </w:rPr>
      </w:pPr>
      <w:r w:rsidRPr="001C1F8F">
        <w:rPr>
          <w:b/>
          <w:lang w:val="en-US"/>
        </w:rPr>
        <w:t>Bar Charts versus Column Charts</w:t>
      </w:r>
    </w:p>
    <w:p w:rsidR="004506BE" w:rsidRDefault="004506BE" w:rsidP="00F35D47">
      <w:pPr>
        <w:rPr>
          <w:lang w:val="en-US"/>
        </w:rPr>
      </w:pPr>
      <w:r>
        <w:rPr>
          <w:lang w:val="en-US"/>
        </w:rPr>
        <w:t>Bar charts are essentially the same as column charts, but displayed horizontally.  Bar charts are often preferred when the labels are long.</w:t>
      </w:r>
    </w:p>
    <w:p w:rsidR="004506BE" w:rsidRDefault="004506BE" w:rsidP="00F35D47">
      <w:pPr>
        <w:rPr>
          <w:lang w:val="en-US"/>
        </w:rPr>
      </w:pPr>
      <w:r w:rsidRPr="004506BE">
        <w:rPr>
          <w:noProof/>
        </w:rPr>
        <w:drawing>
          <wp:inline distT="0" distB="0" distL="0" distR="0" wp14:anchorId="597D387D" wp14:editId="0B20F5CC">
            <wp:extent cx="4674358" cy="3291028"/>
            <wp:effectExtent l="0" t="0" r="0" b="5080"/>
            <wp:docPr id="18" name="Picture 1">
              <a:extLst xmlns:a="http://schemas.openxmlformats.org/drawingml/2006/main">
                <a:ext uri="{FF2B5EF4-FFF2-40B4-BE49-F238E27FC236}">
                  <a16:creationId xmlns:a16="http://schemas.microsoft.com/office/drawing/2014/main" id="{7EA016C8-5674-43C3-940C-7FA20FBB54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EA016C8-5674-43C3-940C-7FA20FBB54EA}"/>
                        </a:ext>
                      </a:extLst>
                    </pic:cNvPr>
                    <pic:cNvPicPr>
                      <a:picLocks noChangeAspect="1"/>
                    </pic:cNvPicPr>
                  </pic:nvPicPr>
                  <pic:blipFill>
                    <a:blip r:embed="rId23"/>
                    <a:stretch>
                      <a:fillRect/>
                    </a:stretch>
                  </pic:blipFill>
                  <pic:spPr>
                    <a:xfrm>
                      <a:off x="0" y="0"/>
                      <a:ext cx="4684543" cy="3298199"/>
                    </a:xfrm>
                    <a:prstGeom prst="rect">
                      <a:avLst/>
                    </a:prstGeom>
                  </pic:spPr>
                </pic:pic>
              </a:graphicData>
            </a:graphic>
          </wp:inline>
        </w:drawing>
      </w:r>
    </w:p>
    <w:p w:rsidR="004506BE" w:rsidRDefault="004506BE" w:rsidP="00F35D47">
      <w:pPr>
        <w:rPr>
          <w:lang w:val="en-US"/>
        </w:rPr>
      </w:pPr>
      <w:r w:rsidRPr="004506BE">
        <w:rPr>
          <w:noProof/>
        </w:rPr>
        <w:drawing>
          <wp:inline distT="0" distB="0" distL="0" distR="0" wp14:anchorId="130AB9F3" wp14:editId="22F3E522">
            <wp:extent cx="4838131" cy="3575358"/>
            <wp:effectExtent l="0" t="0" r="635" b="6350"/>
            <wp:docPr id="19" name="Picture 1">
              <a:extLst xmlns:a="http://schemas.openxmlformats.org/drawingml/2006/main">
                <a:ext uri="{FF2B5EF4-FFF2-40B4-BE49-F238E27FC236}">
                  <a16:creationId xmlns:a16="http://schemas.microsoft.com/office/drawing/2014/main" id="{4ABC7EA4-C184-4F46-A943-2BFF6FC734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ABC7EA4-C184-4F46-A943-2BFF6FC7348C}"/>
                        </a:ext>
                      </a:extLst>
                    </pic:cNvPr>
                    <pic:cNvPicPr>
                      <a:picLocks noChangeAspect="1"/>
                    </pic:cNvPicPr>
                  </pic:nvPicPr>
                  <pic:blipFill>
                    <a:blip r:embed="rId24"/>
                    <a:stretch>
                      <a:fillRect/>
                    </a:stretch>
                  </pic:blipFill>
                  <pic:spPr>
                    <a:xfrm>
                      <a:off x="0" y="0"/>
                      <a:ext cx="4842536" cy="3578613"/>
                    </a:xfrm>
                    <a:prstGeom prst="rect">
                      <a:avLst/>
                    </a:prstGeom>
                  </pic:spPr>
                </pic:pic>
              </a:graphicData>
            </a:graphic>
          </wp:inline>
        </w:drawing>
      </w:r>
    </w:p>
    <w:p w:rsidR="004506BE" w:rsidRDefault="00F56F12" w:rsidP="00F35D47">
      <w:pPr>
        <w:rPr>
          <w:lang w:val="en-US"/>
        </w:rPr>
      </w:pPr>
      <w:r>
        <w:rPr>
          <w:lang w:val="en-US"/>
        </w:rPr>
        <w:t>Bar charts are trickier to use when you are making multiple comparisons.  In the above, the sales people were sorted from the most successful to least successful.  High to low sequencing is often preferred for bar charts.  Further, it is often better to integrate the factors like done above, rather than separating them.</w:t>
      </w:r>
    </w:p>
    <w:p w:rsidR="00F56F12" w:rsidRDefault="00F56F12" w:rsidP="00F35D47">
      <w:pPr>
        <w:rPr>
          <w:lang w:val="en-US"/>
        </w:rPr>
      </w:pPr>
      <w:r w:rsidRPr="00F56F12">
        <w:rPr>
          <w:noProof/>
        </w:rPr>
        <w:drawing>
          <wp:inline distT="0" distB="0" distL="0" distR="0" wp14:anchorId="1DA477F0" wp14:editId="4999EC55">
            <wp:extent cx="4551528" cy="2496820"/>
            <wp:effectExtent l="0" t="0" r="1905" b="0"/>
            <wp:docPr id="20" name="Picture 1">
              <a:extLst xmlns:a="http://schemas.openxmlformats.org/drawingml/2006/main">
                <a:ext uri="{FF2B5EF4-FFF2-40B4-BE49-F238E27FC236}">
                  <a16:creationId xmlns:a16="http://schemas.microsoft.com/office/drawing/2014/main" id="{68F2E624-16F1-44F6-8026-CADA849E7B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8F2E624-16F1-44F6-8026-CADA849E7BA6}"/>
                        </a:ext>
                      </a:extLst>
                    </pic:cNvPr>
                    <pic:cNvPicPr>
                      <a:picLocks noChangeAspect="1"/>
                    </pic:cNvPicPr>
                  </pic:nvPicPr>
                  <pic:blipFill>
                    <a:blip r:embed="rId25"/>
                    <a:stretch>
                      <a:fillRect/>
                    </a:stretch>
                  </pic:blipFill>
                  <pic:spPr>
                    <a:xfrm>
                      <a:off x="0" y="0"/>
                      <a:ext cx="4595580" cy="2520985"/>
                    </a:xfrm>
                    <a:prstGeom prst="rect">
                      <a:avLst/>
                    </a:prstGeom>
                  </pic:spPr>
                </pic:pic>
              </a:graphicData>
            </a:graphic>
          </wp:inline>
        </w:drawing>
      </w:r>
    </w:p>
    <w:p w:rsidR="00F56F12" w:rsidRDefault="00F56F12" w:rsidP="00F35D47">
      <w:pPr>
        <w:rPr>
          <w:lang w:val="en-US"/>
        </w:rPr>
      </w:pPr>
      <w:r w:rsidRPr="00F56F12">
        <w:rPr>
          <w:noProof/>
        </w:rPr>
        <w:drawing>
          <wp:inline distT="0" distB="0" distL="0" distR="0" wp14:anchorId="6A4169F7" wp14:editId="6A8B1453">
            <wp:extent cx="4356941" cy="3623481"/>
            <wp:effectExtent l="0" t="0" r="5715" b="0"/>
            <wp:docPr id="21" name="Picture 2">
              <a:extLst xmlns:a="http://schemas.openxmlformats.org/drawingml/2006/main">
                <a:ext uri="{FF2B5EF4-FFF2-40B4-BE49-F238E27FC236}">
                  <a16:creationId xmlns:a16="http://schemas.microsoft.com/office/drawing/2014/main" id="{32938E6E-37AC-4708-804C-239C4B80FC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2938E6E-37AC-4708-804C-239C4B80FCF7}"/>
                        </a:ext>
                      </a:extLst>
                    </pic:cNvPr>
                    <pic:cNvPicPr>
                      <a:picLocks noChangeAspect="1"/>
                    </pic:cNvPicPr>
                  </pic:nvPicPr>
                  <pic:blipFill>
                    <a:blip r:embed="rId26"/>
                    <a:stretch>
                      <a:fillRect/>
                    </a:stretch>
                  </pic:blipFill>
                  <pic:spPr>
                    <a:xfrm>
                      <a:off x="0" y="0"/>
                      <a:ext cx="4386882" cy="3648382"/>
                    </a:xfrm>
                    <a:prstGeom prst="rect">
                      <a:avLst/>
                    </a:prstGeom>
                  </pic:spPr>
                </pic:pic>
              </a:graphicData>
            </a:graphic>
          </wp:inline>
        </w:drawing>
      </w:r>
    </w:p>
    <w:p w:rsidR="00F56F12" w:rsidRDefault="00F56F12">
      <w:pPr>
        <w:rPr>
          <w:lang w:val="en-US"/>
        </w:rPr>
      </w:pPr>
      <w:r>
        <w:rPr>
          <w:lang w:val="en-US"/>
        </w:rPr>
        <w:br w:type="page"/>
      </w:r>
    </w:p>
    <w:p w:rsidR="00190AAF" w:rsidRPr="001C1F8F" w:rsidRDefault="00190AAF" w:rsidP="001C1F8F">
      <w:pPr>
        <w:pStyle w:val="ListParagraph"/>
        <w:numPr>
          <w:ilvl w:val="1"/>
          <w:numId w:val="8"/>
        </w:numPr>
        <w:ind w:left="360"/>
        <w:rPr>
          <w:b/>
          <w:lang w:val="en-US"/>
        </w:rPr>
      </w:pPr>
      <w:r w:rsidRPr="001C1F8F">
        <w:rPr>
          <w:b/>
          <w:lang w:val="en-US"/>
        </w:rPr>
        <w:t>Histograms and Box and Whisker Charts</w:t>
      </w:r>
    </w:p>
    <w:p w:rsidR="00190AAF" w:rsidRDefault="00190AAF">
      <w:pPr>
        <w:rPr>
          <w:lang w:val="en-US"/>
        </w:rPr>
      </w:pPr>
      <w:r>
        <w:rPr>
          <w:lang w:val="en-US"/>
        </w:rPr>
        <w:t xml:space="preserve">Both of these charts are intended to display the diversity of values, rather than simply showing the average.  Histograms are best for a single data set whereas Box and Whisker charts are intended for comparing groups.  When you have only one group, you want to explore the details of the group.  You want to see the distribution in its fullest extent.  But when you are comparing groups, this detail can be overwhelming.  This is especially the case when there are many groups.  Box and Whisker charts </w:t>
      </w:r>
      <w:r w:rsidR="00F36683">
        <w:rPr>
          <w:lang w:val="en-US"/>
        </w:rPr>
        <w:t>highlight only the highlights: where is the middle, what is high/low, what is very high/low, are there outliers</w:t>
      </w:r>
      <w:r w:rsidR="0064415A">
        <w:rPr>
          <w:lang w:val="en-US"/>
        </w:rPr>
        <w:t>?</w:t>
      </w:r>
      <w:r w:rsidR="00F36683">
        <w:rPr>
          <w:lang w:val="en-US"/>
        </w:rPr>
        <w:t xml:space="preserve">  If there are only one or 2 groups, use a histogram.  If there are 4 or more groups, use box and whisker charts.  For three groups, look at each and decide.</w:t>
      </w:r>
    </w:p>
    <w:p w:rsidR="00F36683" w:rsidRDefault="00F36683">
      <w:pPr>
        <w:rPr>
          <w:lang w:val="en-US"/>
        </w:rPr>
      </w:pPr>
      <w:r>
        <w:rPr>
          <w:lang w:val="en-US"/>
        </w:rPr>
        <w:t>With histograms, you must group data.  Choose 5 to 15 groups, depending upon how much data you have.  Use “nice” groupings so that your horizontal axis will look good.  If you have more than one group, you should scale the vertical axis so that it shows the percentage in each group.</w:t>
      </w:r>
    </w:p>
    <w:p w:rsidR="00F36683" w:rsidRDefault="00F36683">
      <w:pPr>
        <w:rPr>
          <w:lang w:val="en-US"/>
        </w:rPr>
      </w:pPr>
      <w:r>
        <w:rPr>
          <w:noProof/>
        </w:rPr>
        <w:drawing>
          <wp:inline distT="0" distB="0" distL="0" distR="0" wp14:anchorId="6FE7E15F" wp14:editId="4E7D574C">
            <wp:extent cx="5622878" cy="2606722"/>
            <wp:effectExtent l="0" t="0" r="16510" b="3175"/>
            <wp:docPr id="30" name="Chart 30">
              <a:extLst xmlns:a="http://schemas.openxmlformats.org/drawingml/2006/main">
                <a:ext uri="{FF2B5EF4-FFF2-40B4-BE49-F238E27FC236}">
                  <a16:creationId xmlns:a16="http://schemas.microsoft.com/office/drawing/2014/main" id="{90C9C613-E31D-4AA9-906B-FA150B23D4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C73B7" w:rsidRDefault="00CC5E6A">
      <w:pPr>
        <w:rPr>
          <w:lang w:val="en-US"/>
        </w:rPr>
      </w:pPr>
      <w:r>
        <w:rPr>
          <w:noProof/>
        </w:rPr>
        <w:drawing>
          <wp:inline distT="0" distB="0" distL="0" distR="0" wp14:anchorId="1DAAF9AF" wp14:editId="775B620A">
            <wp:extent cx="5711190" cy="2470245"/>
            <wp:effectExtent l="0" t="0" r="3810" b="6350"/>
            <wp:docPr id="31" name="Chart 31">
              <a:extLst xmlns:a="http://schemas.openxmlformats.org/drawingml/2006/main">
                <a:ext uri="{FF2B5EF4-FFF2-40B4-BE49-F238E27FC236}">
                  <a16:creationId xmlns:a16="http://schemas.microsoft.com/office/drawing/2014/main" id="{90C9C613-E31D-4AA9-906B-FA150B23D4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37024" w:rsidRDefault="00E37024">
      <w:pPr>
        <w:rPr>
          <w:b/>
          <w:lang w:val="en-US"/>
        </w:rPr>
      </w:pPr>
    </w:p>
    <w:p w:rsidR="00CC5E6A" w:rsidRDefault="00CC5E6A">
      <w:pPr>
        <w:rPr>
          <w:lang w:val="en-US"/>
        </w:rPr>
      </w:pPr>
      <w:r w:rsidRPr="00CC5E6A">
        <w:rPr>
          <w:lang w:val="en-US"/>
        </w:rPr>
        <w:t>Once again, it is critically important what you choose as your verti</w:t>
      </w:r>
      <w:r>
        <w:rPr>
          <w:lang w:val="en-US"/>
        </w:rPr>
        <w:t>c</w:t>
      </w:r>
      <w:r w:rsidRPr="00CC5E6A">
        <w:rPr>
          <w:lang w:val="en-US"/>
        </w:rPr>
        <w:t xml:space="preserve">al scale.  </w:t>
      </w:r>
      <w:r>
        <w:rPr>
          <w:lang w:val="en-US"/>
        </w:rPr>
        <w:t>If your intention was to show how many Card holders were low, medium or high risk as well as the income distribution, then the first histogram is best.  But it is likely that you wanted to simply show how the pattern of incomes varied across risk groups, in which case, the second histogram is best.</w:t>
      </w:r>
    </w:p>
    <w:p w:rsidR="00CC5E6A" w:rsidRDefault="00CC5E6A">
      <w:pPr>
        <w:rPr>
          <w:lang w:val="en-US"/>
        </w:rPr>
      </w:pPr>
      <w:r>
        <w:rPr>
          <w:lang w:val="en-US"/>
        </w:rPr>
        <w:t>If your objective was to highlight both the average income as well as the diversity of incomes, then a box and whisker chart is preferred.</w:t>
      </w:r>
    </w:p>
    <w:p w:rsidR="00CC5E6A" w:rsidRPr="00CC5E6A" w:rsidRDefault="004A6407">
      <w:pPr>
        <w:rPr>
          <w:lang w:val="en-US"/>
        </w:rPr>
      </w:pPr>
      <w:r>
        <w:rPr>
          <w:noProof/>
        </w:rPr>
        <mc:AlternateContent>
          <mc:Choice Requires="cx1">
            <w:drawing>
              <wp:inline distT="0" distB="0" distL="0" distR="0" wp14:anchorId="517CD441" wp14:editId="3CE79861">
                <wp:extent cx="4572000" cy="2743200"/>
                <wp:effectExtent l="0" t="0" r="0" b="0"/>
                <wp:docPr id="34" name="Chart 34">
                  <a:extLst xmlns:a="http://schemas.openxmlformats.org/drawingml/2006/main">
                    <a:ext uri="{FF2B5EF4-FFF2-40B4-BE49-F238E27FC236}">
                      <a16:creationId xmlns:a16="http://schemas.microsoft.com/office/drawing/2014/main" id="{82019C29-9DD3-4643-9369-1139141CFC13}"/>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9"/>
                  </a:graphicData>
                </a:graphic>
              </wp:inline>
            </w:drawing>
          </mc:Choice>
          <mc:Fallback>
            <w:drawing>
              <wp:inline distT="0" distB="0" distL="0" distR="0" wp14:anchorId="517CD441" wp14:editId="3CE79861">
                <wp:extent cx="4572000" cy="2743200"/>
                <wp:effectExtent l="0" t="0" r="0" b="0"/>
                <wp:docPr id="34" name="Chart 34">
                  <a:extLst xmlns:a="http://schemas.openxmlformats.org/drawingml/2006/main">
                    <a:ext uri="{FF2B5EF4-FFF2-40B4-BE49-F238E27FC236}">
                      <a16:creationId xmlns:a16="http://schemas.microsoft.com/office/drawing/2014/main" id="{82019C29-9DD3-4643-9369-1139141CFC13}"/>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4" name="Chart 34">
                          <a:extLst>
                            <a:ext uri="{FF2B5EF4-FFF2-40B4-BE49-F238E27FC236}">
                              <a16:creationId xmlns:a16="http://schemas.microsoft.com/office/drawing/2014/main" id="{82019C29-9DD3-4643-9369-1139141CFC13}"/>
                            </a:ext>
                          </a:extLst>
                        </pic:cNvPr>
                        <pic:cNvPicPr>
                          <a:picLocks noGrp="1" noRot="1" noChangeAspect="1" noMove="1" noResize="1" noEditPoints="1" noAdjustHandles="1" noChangeArrowheads="1" noChangeShapeType="1"/>
                        </pic:cNvPicPr>
                      </pic:nvPicPr>
                      <pic:blipFill>
                        <a:blip r:embed="rId30"/>
                        <a:stretch>
                          <a:fillRect/>
                        </a:stretch>
                      </pic:blipFill>
                      <pic:spPr>
                        <a:xfrm>
                          <a:off x="0" y="0"/>
                          <a:ext cx="4572000" cy="2743200"/>
                        </a:xfrm>
                        <a:prstGeom prst="rect">
                          <a:avLst/>
                        </a:prstGeom>
                      </pic:spPr>
                    </pic:pic>
                  </a:graphicData>
                </a:graphic>
              </wp:inline>
            </w:drawing>
          </mc:Fallback>
        </mc:AlternateContent>
      </w:r>
    </w:p>
    <w:p w:rsidR="00CC5E6A" w:rsidRDefault="008901B3">
      <w:pPr>
        <w:rPr>
          <w:lang w:val="en-US"/>
        </w:rPr>
      </w:pPr>
      <w:r w:rsidRPr="008901B3">
        <w:rPr>
          <w:lang w:val="en-US"/>
        </w:rPr>
        <w:t xml:space="preserve">Although Box and Whisker charts are </w:t>
      </w:r>
      <w:r>
        <w:rPr>
          <w:lang w:val="en-US"/>
        </w:rPr>
        <w:t>simple and effective, they are unfamiliar to some audiences.  They have been around for 50 years, but have not been mainstream until recently.  If you use them, be prepared to have to explain what the chart is showing.  I love them because they are so simple and can be used to compare many groups at once.  But few understand what the box and the whiskers and those irregular dots represent.  They will be more common place in the future, but will likely always need some explanation.  They may remain a chart best used for analysis but not for communication in a final report.</w:t>
      </w:r>
    </w:p>
    <w:p w:rsidR="008901B3" w:rsidRDefault="008901B3">
      <w:pPr>
        <w:rPr>
          <w:lang w:val="en-US"/>
        </w:rPr>
      </w:pPr>
      <w:r>
        <w:rPr>
          <w:lang w:val="en-US"/>
        </w:rPr>
        <w:t>The strength in histograms and box and whisker charts is that they show diversity.  Averages portray everyone as being average.  They reinforce stereotypes.  Firms that are most successful understand, appreciate and even celebrate the diversity of their customers.</w:t>
      </w:r>
    </w:p>
    <w:p w:rsidR="001E7317" w:rsidRDefault="001E7317">
      <w:pPr>
        <w:rPr>
          <w:lang w:val="en-US"/>
        </w:rPr>
      </w:pPr>
    </w:p>
    <w:p w:rsidR="0064415A" w:rsidRDefault="0064415A">
      <w:pPr>
        <w:rPr>
          <w:b/>
          <w:lang w:val="en-US"/>
        </w:rPr>
      </w:pPr>
      <w:r>
        <w:rPr>
          <w:b/>
          <w:lang w:val="en-US"/>
        </w:rPr>
        <w:br w:type="page"/>
      </w:r>
    </w:p>
    <w:p w:rsidR="001E7317" w:rsidRPr="0064415A" w:rsidRDefault="001D422A" w:rsidP="0064415A">
      <w:pPr>
        <w:pStyle w:val="ListParagraph"/>
        <w:numPr>
          <w:ilvl w:val="0"/>
          <w:numId w:val="11"/>
        </w:numPr>
        <w:rPr>
          <w:lang w:val="en-US"/>
        </w:rPr>
      </w:pPr>
      <w:r w:rsidRPr="0064415A">
        <w:rPr>
          <w:b/>
          <w:lang w:val="en-US"/>
        </w:rPr>
        <w:t>Story Telling</w:t>
      </w:r>
    </w:p>
    <w:p w:rsidR="001D422A" w:rsidRDefault="001D422A">
      <w:pPr>
        <w:rPr>
          <w:lang w:val="en-US"/>
        </w:rPr>
      </w:pPr>
      <w:r>
        <w:rPr>
          <w:lang w:val="en-US"/>
        </w:rPr>
        <w:t>Telling stories through charts has become a hot topic.</w:t>
      </w:r>
      <w:r w:rsidR="00155AD4">
        <w:rPr>
          <w:lang w:val="en-US"/>
        </w:rPr>
        <w:t xml:space="preserve">  </w:t>
      </w:r>
      <w:r w:rsidR="00DC6F74">
        <w:rPr>
          <w:lang w:val="en-US"/>
        </w:rPr>
        <w:t xml:space="preserve">Many managers talk of </w:t>
      </w:r>
      <w:r w:rsidR="00DC6F74" w:rsidRPr="001C1F8F">
        <w:rPr>
          <w:b/>
          <w:lang w:val="en-US"/>
        </w:rPr>
        <w:t>data visualization</w:t>
      </w:r>
      <w:r w:rsidR="00DC6F74">
        <w:rPr>
          <w:lang w:val="en-US"/>
        </w:rPr>
        <w:t xml:space="preserve"> and </w:t>
      </w:r>
      <w:r w:rsidR="00DC6F74" w:rsidRPr="001C1F8F">
        <w:rPr>
          <w:b/>
          <w:lang w:val="en-US"/>
        </w:rPr>
        <w:t>dashboards</w:t>
      </w:r>
      <w:r w:rsidR="00DC6F74">
        <w:rPr>
          <w:lang w:val="en-US"/>
        </w:rPr>
        <w:t>.  A lot of the talk is about pretty pictures and not evidence-based decision-making.  Much of the commentary above has been about good and bad practices in data visualization.  Story telling is somewhat different.  When we were children, many of our favorite stories had great pictures.  I recall how my sister could “read” a book aloud long before she learned to read.  She memorized the words we said with each picture.  When she saw the picture, she recited the associated words.  Pictures are an essential part of good storytelling.  When you are trying to make a persuasive argument to a client to buy your product, you are likely telling them a story.  Good reports tell good stories.</w:t>
      </w:r>
    </w:p>
    <w:p w:rsidR="00DC6F74" w:rsidRDefault="00DC6F74">
      <w:pPr>
        <w:rPr>
          <w:lang w:val="en-US"/>
        </w:rPr>
      </w:pPr>
      <w:r>
        <w:rPr>
          <w:lang w:val="en-US"/>
        </w:rPr>
        <w:t xml:space="preserve">But sometimes the charts and pictures you use are not the simple charts that we have introduced.  Sometimes they are unique creations.  </w:t>
      </w:r>
    </w:p>
    <w:p w:rsidR="009A3689" w:rsidRDefault="009A3689">
      <w:pPr>
        <w:rPr>
          <w:lang w:val="en-US"/>
        </w:rPr>
      </w:pPr>
      <w:r>
        <w:rPr>
          <w:lang w:val="en-US"/>
        </w:rPr>
        <w:t>The picture below reflects the death toll of the war in Iraq.</w:t>
      </w:r>
    </w:p>
    <w:p w:rsidR="009A3689" w:rsidRDefault="009A3689">
      <w:pPr>
        <w:rPr>
          <w:lang w:val="en-US"/>
        </w:rPr>
      </w:pPr>
      <w:r w:rsidRPr="009A3689">
        <w:rPr>
          <w:noProof/>
          <w:lang w:val="en-US"/>
        </w:rPr>
        <w:drawing>
          <wp:inline distT="0" distB="0" distL="0" distR="0">
            <wp:extent cx="3928810" cy="5461838"/>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45304" cy="5484768"/>
                    </a:xfrm>
                    <a:prstGeom prst="rect">
                      <a:avLst/>
                    </a:prstGeom>
                    <a:noFill/>
                    <a:ln>
                      <a:noFill/>
                    </a:ln>
                  </pic:spPr>
                </pic:pic>
              </a:graphicData>
            </a:graphic>
          </wp:inline>
        </w:drawing>
      </w:r>
    </w:p>
    <w:p w:rsidR="009A3689" w:rsidRDefault="009A3689">
      <w:pPr>
        <w:rPr>
          <w:lang w:val="en-US"/>
        </w:rPr>
      </w:pPr>
      <w:r>
        <w:rPr>
          <w:lang w:val="en-US"/>
        </w:rPr>
        <w:t>But the story can be told from a different perspective.</w:t>
      </w:r>
    </w:p>
    <w:p w:rsidR="009A3689" w:rsidRDefault="009A3689">
      <w:pPr>
        <w:rPr>
          <w:lang w:val="en-US"/>
        </w:rPr>
      </w:pPr>
      <w:r w:rsidRPr="009A3689">
        <w:rPr>
          <w:noProof/>
          <w:lang w:val="en-US"/>
        </w:rPr>
        <w:drawing>
          <wp:inline distT="0" distB="0" distL="0" distR="0">
            <wp:extent cx="4412437" cy="6382298"/>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31947" cy="6410518"/>
                    </a:xfrm>
                    <a:prstGeom prst="rect">
                      <a:avLst/>
                    </a:prstGeom>
                    <a:noFill/>
                    <a:ln>
                      <a:noFill/>
                    </a:ln>
                  </pic:spPr>
                </pic:pic>
              </a:graphicData>
            </a:graphic>
          </wp:inline>
        </w:drawing>
      </w:r>
    </w:p>
    <w:p w:rsidR="009A3689" w:rsidRDefault="009A3689">
      <w:pPr>
        <w:rPr>
          <w:lang w:val="en-US"/>
        </w:rPr>
      </w:pPr>
      <w:r>
        <w:rPr>
          <w:lang w:val="en-US"/>
        </w:rPr>
        <w:t>What story are you trying to tell?</w:t>
      </w:r>
    </w:p>
    <w:p w:rsidR="0071285D" w:rsidRDefault="0071285D">
      <w:pPr>
        <w:rPr>
          <w:lang w:val="en-US"/>
        </w:rPr>
      </w:pPr>
      <w:r>
        <w:rPr>
          <w:lang w:val="en-US"/>
        </w:rPr>
        <w:t>15 years ago I was asked to explain student retention to faculty and administrators.  The widely held belief is that students who dropped out, flunked out.  Tables and statistics made little impression on anyone, so I used pictures to tell the story.</w:t>
      </w:r>
    </w:p>
    <w:p w:rsidR="0071285D" w:rsidRDefault="0071285D">
      <w:pPr>
        <w:rPr>
          <w:lang w:val="en-US"/>
        </w:rPr>
      </w:pPr>
      <w:r>
        <w:rPr>
          <w:lang w:val="en-US"/>
        </w:rPr>
        <w:t>In a typical year, we recruited 2600 new students.  At the end of the year, we told 300 to leave and another 1200 simply walked away.</w:t>
      </w:r>
    </w:p>
    <w:p w:rsidR="009A3689" w:rsidRDefault="0071285D">
      <w:pPr>
        <w:rPr>
          <w:lang w:val="en-US"/>
        </w:rPr>
      </w:pPr>
      <w:r>
        <w:rPr>
          <w:noProof/>
        </w:rPr>
        <w:drawing>
          <wp:inline distT="0" distB="0" distL="0" distR="0" wp14:anchorId="607E87F4" wp14:editId="7E410CB7">
            <wp:extent cx="3675413" cy="2842731"/>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4286" r="12987"/>
                    <a:stretch/>
                  </pic:blipFill>
                  <pic:spPr bwMode="auto">
                    <a:xfrm>
                      <a:off x="0" y="0"/>
                      <a:ext cx="3693663" cy="2856846"/>
                    </a:xfrm>
                    <a:prstGeom prst="rect">
                      <a:avLst/>
                    </a:prstGeom>
                    <a:ln>
                      <a:noFill/>
                    </a:ln>
                    <a:extLst>
                      <a:ext uri="{53640926-AAD7-44D8-BBD7-CCE9431645EC}">
                        <a14:shadowObscured xmlns:a14="http://schemas.microsoft.com/office/drawing/2010/main"/>
                      </a:ext>
                    </a:extLst>
                  </pic:spPr>
                </pic:pic>
              </a:graphicData>
            </a:graphic>
          </wp:inline>
        </w:drawing>
      </w:r>
    </w:p>
    <w:p w:rsidR="0071285D" w:rsidRDefault="0071285D">
      <w:pPr>
        <w:rPr>
          <w:lang w:val="en-US"/>
        </w:rPr>
      </w:pPr>
      <w:r>
        <w:rPr>
          <w:lang w:val="en-US"/>
        </w:rPr>
        <w:t>What happened to those that entered in fall 2005?</w:t>
      </w:r>
    </w:p>
    <w:p w:rsidR="0071285D" w:rsidRDefault="0071285D">
      <w:pPr>
        <w:rPr>
          <w:lang w:val="en-US"/>
        </w:rPr>
      </w:pPr>
      <w:r>
        <w:rPr>
          <w:noProof/>
        </w:rPr>
        <w:drawing>
          <wp:inline distT="0" distB="0" distL="0" distR="0" wp14:anchorId="4A2E77D7" wp14:editId="6AE8FD8B">
            <wp:extent cx="3277590" cy="2521163"/>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13786" r="13087"/>
                    <a:stretch/>
                  </pic:blipFill>
                  <pic:spPr bwMode="auto">
                    <a:xfrm>
                      <a:off x="0" y="0"/>
                      <a:ext cx="3284984" cy="2526850"/>
                    </a:xfrm>
                    <a:prstGeom prst="rect">
                      <a:avLst/>
                    </a:prstGeom>
                    <a:ln>
                      <a:noFill/>
                    </a:ln>
                    <a:extLst>
                      <a:ext uri="{53640926-AAD7-44D8-BBD7-CCE9431645EC}">
                        <a14:shadowObscured xmlns:a14="http://schemas.microsoft.com/office/drawing/2010/main"/>
                      </a:ext>
                    </a:extLst>
                  </pic:spPr>
                </pic:pic>
              </a:graphicData>
            </a:graphic>
          </wp:inline>
        </w:drawing>
      </w:r>
    </w:p>
    <w:p w:rsidR="0071285D" w:rsidRDefault="0071285D">
      <w:pPr>
        <w:rPr>
          <w:lang w:val="en-US"/>
        </w:rPr>
      </w:pPr>
    </w:p>
    <w:p w:rsidR="0071285D" w:rsidRDefault="0071285D">
      <w:pPr>
        <w:rPr>
          <w:lang w:val="en-US"/>
        </w:rPr>
      </w:pPr>
      <w:r>
        <w:rPr>
          <w:lang w:val="en-US"/>
        </w:rPr>
        <w:br w:type="page"/>
      </w:r>
    </w:p>
    <w:p w:rsidR="0071285D" w:rsidRDefault="0071285D">
      <w:pPr>
        <w:rPr>
          <w:lang w:val="en-US"/>
        </w:rPr>
      </w:pPr>
      <w:r>
        <w:rPr>
          <w:lang w:val="en-US"/>
        </w:rPr>
        <w:t>And when did they leave?</w:t>
      </w:r>
    </w:p>
    <w:p w:rsidR="0071285D" w:rsidRDefault="0071285D">
      <w:pPr>
        <w:rPr>
          <w:lang w:val="en-US"/>
        </w:rPr>
      </w:pPr>
      <w:r>
        <w:rPr>
          <w:noProof/>
        </w:rPr>
        <w:drawing>
          <wp:inline distT="0" distB="0" distL="0" distR="0" wp14:anchorId="4A5EB9C2" wp14:editId="098238BF">
            <wp:extent cx="3348842" cy="2572494"/>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3589" r="13186"/>
                    <a:stretch/>
                  </pic:blipFill>
                  <pic:spPr bwMode="auto">
                    <a:xfrm>
                      <a:off x="0" y="0"/>
                      <a:ext cx="3362447" cy="2582945"/>
                    </a:xfrm>
                    <a:prstGeom prst="rect">
                      <a:avLst/>
                    </a:prstGeom>
                    <a:ln>
                      <a:noFill/>
                    </a:ln>
                    <a:extLst>
                      <a:ext uri="{53640926-AAD7-44D8-BBD7-CCE9431645EC}">
                        <a14:shadowObscured xmlns:a14="http://schemas.microsoft.com/office/drawing/2010/main"/>
                      </a:ext>
                    </a:extLst>
                  </pic:spPr>
                </pic:pic>
              </a:graphicData>
            </a:graphic>
          </wp:inline>
        </w:drawing>
      </w:r>
    </w:p>
    <w:p w:rsidR="0071285D" w:rsidRDefault="0071285D">
      <w:pPr>
        <w:rPr>
          <w:lang w:val="en-US"/>
        </w:rPr>
      </w:pPr>
      <w:r>
        <w:rPr>
          <w:lang w:val="en-US"/>
        </w:rPr>
        <w:t>These are not our typical charts, but ones specifically designed to tell a story.  Regrettably, almost no one believed me!</w:t>
      </w:r>
    </w:p>
    <w:p w:rsidR="0071285D" w:rsidRDefault="0071285D">
      <w:pPr>
        <w:rPr>
          <w:lang w:val="en-US"/>
        </w:rPr>
      </w:pPr>
      <w:r>
        <w:rPr>
          <w:lang w:val="en-US"/>
        </w:rPr>
        <w:t>One of the most famous story pictures describes Napol</w:t>
      </w:r>
      <w:r w:rsidR="00E57132">
        <w:rPr>
          <w:lang w:val="en-US"/>
        </w:rPr>
        <w:t>eon’s failed attempt to defeat Russia.  The chart shows the path of his army.  The width of the path reflects the number of soldiers.  On the picture are displayed the dates and temperatures for the advance and the retreat.  It is a sad story of defeat.</w:t>
      </w:r>
    </w:p>
    <w:p w:rsidR="00E57132" w:rsidRDefault="00E57132">
      <w:pPr>
        <w:rPr>
          <w:lang w:val="en-US"/>
        </w:rPr>
      </w:pPr>
      <w:r>
        <w:rPr>
          <w:noProof/>
        </w:rPr>
        <w:drawing>
          <wp:inline distT="0" distB="0" distL="0" distR="0" wp14:anchorId="33584BF0" wp14:editId="5D661831">
            <wp:extent cx="5943600" cy="2753995"/>
            <wp:effectExtent l="0" t="0" r="0" b="8255"/>
            <wp:docPr id="46" name="Picture 46" descr="https://upload.wikimedia.org/wikipedia/commons/thumb/e/e2/Minard_Update.png/1920px-Minard_Up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e/e2/Minard_Update.png/1920px-Minard_Update.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2753995"/>
                    </a:xfrm>
                    <a:prstGeom prst="rect">
                      <a:avLst/>
                    </a:prstGeom>
                    <a:noFill/>
                    <a:ln>
                      <a:noFill/>
                    </a:ln>
                  </pic:spPr>
                </pic:pic>
              </a:graphicData>
            </a:graphic>
          </wp:inline>
        </w:drawing>
      </w:r>
    </w:p>
    <w:p w:rsidR="00E57132" w:rsidRDefault="00E57132" w:rsidP="00E57132">
      <w:pPr>
        <w:rPr>
          <w:lang w:val="en-US"/>
        </w:rPr>
      </w:pPr>
      <w:r>
        <w:rPr>
          <w:lang w:val="en-US"/>
        </w:rPr>
        <w:t>In my previous life as Registrar I was responsible for preparing bi-weekly reports on applications for the next academic year.  Recruitment started in late September and continued until school started in the following September.  Recruitment of Nova Scotia students is extremely competitive because the number of high school graduates has been declining by 2-3% per year for 15 years.  The market has shrunk by almost 40%.  Institutions have implemented many tactics to engage students sooner.  Fifteen years ago, most students would apply in February, after receiving their mid-year grades.  Universities would rarely make admission or scholarship offers until they saw those grades.  As competition increased, admission practices changed.  Offers were made sooner.  Offers were made on the spot, even in the school.</w:t>
      </w:r>
    </w:p>
    <w:p w:rsidR="00E57132" w:rsidRPr="00E64D24" w:rsidRDefault="00E57132" w:rsidP="00E57132">
      <w:pPr>
        <w:rPr>
          <w:lang w:val="en-US"/>
        </w:rPr>
      </w:pPr>
      <w:r>
        <w:rPr>
          <w:lang w:val="en-US"/>
        </w:rPr>
        <w:t xml:space="preserve">How did this affect enrolment reporting and forecasting?  Senior management was excited to hear that applications were up by 10% by mid-January.  This was the time that serious budget planning was occurring for the next budget year.  Trying to convince management to be more cautious in their budgeting was always a challenge until I gave them my “chicken graph”.  My last one from 2017 is depicted below.  I don’t know what the numbers ended like in September 2017.  Each curve represents the cumulative number of applications over the recruitment cycle.  What becomes evident is that the pattern of applications changed over time, with more students applying earlier.  But because of the shifting demographics, the final number of applications is in decline.  I call it the chicken graph after the expression </w:t>
      </w:r>
      <w:r>
        <w:rPr>
          <w:i/>
          <w:lang w:val="en-US"/>
        </w:rPr>
        <w:t>“don’t count your chickens before they hatch”</w:t>
      </w:r>
      <w:r>
        <w:rPr>
          <w:lang w:val="en-US"/>
        </w:rPr>
        <w:t>.  After seeing the graph, management understood.</w:t>
      </w:r>
    </w:p>
    <w:p w:rsidR="00E57132" w:rsidRDefault="00E57132" w:rsidP="00E57132">
      <w:pPr>
        <w:rPr>
          <w:lang w:val="en-US"/>
        </w:rPr>
      </w:pPr>
      <w:r>
        <w:rPr>
          <w:noProof/>
        </w:rPr>
        <w:drawing>
          <wp:inline distT="0" distB="0" distL="0" distR="0" wp14:anchorId="074919D8" wp14:editId="1A712779">
            <wp:extent cx="4975761" cy="4156364"/>
            <wp:effectExtent l="0" t="0" r="15875" b="15875"/>
            <wp:docPr id="47" name="Chart 47">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1C1F8F" w:rsidRDefault="001C1F8F" w:rsidP="00E57132">
      <w:pPr>
        <w:rPr>
          <w:lang w:val="en-US"/>
        </w:rPr>
      </w:pPr>
      <w:r>
        <w:rPr>
          <w:lang w:val="en-US"/>
        </w:rPr>
        <w:t>Management finally recognized that although applications to date were ahead of any previous year, we were likely facing a significant decline in September enrolment.</w:t>
      </w:r>
    </w:p>
    <w:p w:rsidR="00E57132" w:rsidRDefault="00E57132" w:rsidP="00E57132">
      <w:pPr>
        <w:rPr>
          <w:lang w:val="en-US"/>
        </w:rPr>
      </w:pPr>
      <w:r>
        <w:rPr>
          <w:lang w:val="en-US"/>
        </w:rPr>
        <w:t>The point of these examples is that often you need to be creative to get your story across to the reader.  You need to engage the reader.  Capture their attention.  You need to be serious and professional, but innovation in presentation may pay off.  In your report for 1206, stick to tradition</w:t>
      </w:r>
      <w:r w:rsidR="002F629E">
        <w:rPr>
          <w:lang w:val="en-US"/>
        </w:rPr>
        <w:t>.  There is no need to take risks, but when you graduate, it may be necessary to take risks to get noticed and heard.</w:t>
      </w:r>
    </w:p>
    <w:p w:rsidR="002F629E" w:rsidRDefault="002F629E" w:rsidP="00E57132">
      <w:pPr>
        <w:rPr>
          <w:lang w:val="en-US"/>
        </w:rPr>
      </w:pPr>
    </w:p>
    <w:p w:rsidR="002F629E" w:rsidRDefault="002F629E" w:rsidP="001C1F8F">
      <w:pPr>
        <w:pStyle w:val="ListParagraph"/>
        <w:numPr>
          <w:ilvl w:val="0"/>
          <w:numId w:val="11"/>
        </w:numPr>
        <w:rPr>
          <w:b/>
          <w:lang w:val="en-US"/>
        </w:rPr>
      </w:pPr>
      <w:r w:rsidRPr="001C1F8F">
        <w:rPr>
          <w:b/>
          <w:lang w:val="en-US"/>
        </w:rPr>
        <w:t>Some observations from projects done in fall 2019</w:t>
      </w:r>
    </w:p>
    <w:p w:rsidR="001C1F8F" w:rsidRPr="001C1F8F" w:rsidRDefault="001C1F8F" w:rsidP="001C1F8F">
      <w:pPr>
        <w:ind w:left="360"/>
        <w:rPr>
          <w:b/>
          <w:lang w:val="en-US"/>
        </w:rPr>
      </w:pPr>
    </w:p>
    <w:p w:rsidR="001C1F8F" w:rsidRDefault="001C1F8F" w:rsidP="002F629E">
      <w:pPr>
        <w:pStyle w:val="ListParagraph"/>
        <w:numPr>
          <w:ilvl w:val="0"/>
          <w:numId w:val="7"/>
        </w:numPr>
      </w:pPr>
      <w:r>
        <w:t>Don’t take screen shots of Excel.  Copy and paste your tables and charts and then format them appropriately.</w:t>
      </w:r>
    </w:p>
    <w:p w:rsidR="001C1F8F" w:rsidRDefault="001C1F8F" w:rsidP="001C1F8F">
      <w:pPr>
        <w:pStyle w:val="ListParagraph"/>
        <w:numPr>
          <w:ilvl w:val="0"/>
          <w:numId w:val="7"/>
        </w:numPr>
      </w:pPr>
      <w:r>
        <w:t>In comparing bar charts or column charts, vertical scale must be %, otherwise hard to judge relative sizes</w:t>
      </w:r>
    </w:p>
    <w:p w:rsidR="001C1F8F" w:rsidRDefault="001C1F8F" w:rsidP="001C1F8F">
      <w:pPr>
        <w:pStyle w:val="ListParagraph"/>
        <w:numPr>
          <w:ilvl w:val="0"/>
          <w:numId w:val="7"/>
        </w:numPr>
      </w:pPr>
      <w:r>
        <w:t>2 way charts and tables should be outcome vs factor.  At most look at outcome vs 2 factors</w:t>
      </w:r>
    </w:p>
    <w:p w:rsidR="001C1F8F" w:rsidRDefault="001C1F8F" w:rsidP="001C1F8F">
      <w:pPr>
        <w:pStyle w:val="ListParagraph"/>
        <w:numPr>
          <w:ilvl w:val="0"/>
          <w:numId w:val="7"/>
        </w:numPr>
      </w:pPr>
      <w:r>
        <w:t>Combine categories to simplify tables/graphs.  Often only 2-3 categories are enough.</w:t>
      </w:r>
    </w:p>
    <w:p w:rsidR="001C1F8F" w:rsidRDefault="001C1F8F" w:rsidP="001C1F8F">
      <w:pPr>
        <w:pStyle w:val="ListParagraph"/>
        <w:numPr>
          <w:ilvl w:val="0"/>
          <w:numId w:val="7"/>
        </w:numPr>
      </w:pPr>
      <w:r>
        <w:t>If more than 2 ordinal categories, make sure you sequence them -low, medium, high – Excel will sequence them alphabetically, so you will have to move one or more categories.</w:t>
      </w:r>
    </w:p>
    <w:p w:rsidR="001C1F8F" w:rsidRDefault="001C1F8F" w:rsidP="001C1F8F">
      <w:pPr>
        <w:pStyle w:val="ListParagraph"/>
        <w:numPr>
          <w:ilvl w:val="0"/>
          <w:numId w:val="7"/>
        </w:numPr>
      </w:pPr>
      <w:r>
        <w:t>If more than 2 nominal categories, often attractive if sequence largest to smallest frequency or average, unless some geographic or other sequence makes sense.</w:t>
      </w:r>
    </w:p>
    <w:p w:rsidR="002F629E" w:rsidRPr="001158C0" w:rsidRDefault="002F629E" w:rsidP="002F629E">
      <w:pPr>
        <w:pStyle w:val="ListParagraph"/>
        <w:numPr>
          <w:ilvl w:val="0"/>
          <w:numId w:val="7"/>
        </w:numPr>
      </w:pPr>
      <w:r>
        <w:rPr>
          <w:lang w:val="en-US"/>
        </w:rPr>
        <w:t>Correlation and causation – what came first</w:t>
      </w:r>
      <w:r w:rsidR="007D5C64">
        <w:rPr>
          <w:lang w:val="en-US"/>
        </w:rPr>
        <w:t>?</w:t>
      </w:r>
    </w:p>
    <w:p w:rsidR="002F629E" w:rsidRDefault="002F629E" w:rsidP="002F629E">
      <w:pPr>
        <w:pStyle w:val="ListParagraph"/>
        <w:numPr>
          <w:ilvl w:val="0"/>
          <w:numId w:val="7"/>
        </w:numPr>
      </w:pPr>
      <w:r>
        <w:t>Averages tell only small part of story – usually want to talk more broadly about the whole population – boxplots often better</w:t>
      </w:r>
    </w:p>
    <w:p w:rsidR="002F629E" w:rsidRDefault="002F629E" w:rsidP="002F629E">
      <w:pPr>
        <w:pStyle w:val="ListParagraph"/>
        <w:numPr>
          <w:ilvl w:val="0"/>
          <w:numId w:val="7"/>
        </w:numPr>
      </w:pPr>
      <w:r>
        <w:t>Histograms too busy to compare groups – use boxplots to focus attention on the most important features</w:t>
      </w:r>
    </w:p>
    <w:p w:rsidR="002F629E" w:rsidRDefault="002F629E" w:rsidP="002F629E">
      <w:pPr>
        <w:pStyle w:val="ListParagraph"/>
        <w:numPr>
          <w:ilvl w:val="0"/>
          <w:numId w:val="7"/>
        </w:numPr>
      </w:pPr>
      <w:r>
        <w:t>Outliers are distracting and distort averages – if necessary, trim the top and bottom 5%</w:t>
      </w:r>
    </w:p>
    <w:p w:rsidR="007D5C64" w:rsidRDefault="007D5C64" w:rsidP="002F629E">
      <w:pPr>
        <w:pStyle w:val="ListParagraph"/>
        <w:numPr>
          <w:ilvl w:val="0"/>
          <w:numId w:val="7"/>
        </w:numPr>
      </w:pPr>
      <w:r>
        <w:t>Be careful of sample sizes.  When you split your data into smaller groups, they may become too small to make definitive conclusions.</w:t>
      </w:r>
    </w:p>
    <w:p w:rsidR="007D5C64" w:rsidRDefault="007D5C64" w:rsidP="002F629E">
      <w:pPr>
        <w:pStyle w:val="ListParagraph"/>
        <w:numPr>
          <w:ilvl w:val="0"/>
          <w:numId w:val="7"/>
        </w:numPr>
      </w:pPr>
      <w:r>
        <w:t>Your averages and percentages all have a margin of error of +/- 2(std error).  For averages, the margin of error is 2*(std dev)/sqrt(sample size).  For percentages, use 100%/sqrt(sample size).  If your sample size is 100 and your standard deviation is $600, then your margin of error is +/-$120.  If your sample size is 100, then your margin of error for a percentage can be as large as +/-10%.</w:t>
      </w:r>
    </w:p>
    <w:p w:rsidR="007D5C64" w:rsidRDefault="007D5C64" w:rsidP="002F629E">
      <w:pPr>
        <w:pStyle w:val="ListParagraph"/>
        <w:numPr>
          <w:ilvl w:val="0"/>
          <w:numId w:val="7"/>
        </w:numPr>
      </w:pPr>
      <w:r>
        <w:t>You don’t need to draw too much attention to the margin of error calculation, but do not discuss small differences among groups as if they are important.</w:t>
      </w:r>
    </w:p>
    <w:p w:rsidR="007D5C64" w:rsidRDefault="007D5C64" w:rsidP="002F629E">
      <w:pPr>
        <w:pStyle w:val="ListParagraph"/>
        <w:numPr>
          <w:ilvl w:val="0"/>
          <w:numId w:val="7"/>
        </w:numPr>
      </w:pPr>
      <w:r>
        <w:t xml:space="preserve">Remember that your audience is a busy senior manager who may not have time to read text in detail.  </w:t>
      </w:r>
    </w:p>
    <w:p w:rsidR="007D5C64" w:rsidRDefault="007D5C64" w:rsidP="002F629E">
      <w:pPr>
        <w:pStyle w:val="ListParagraph"/>
        <w:numPr>
          <w:ilvl w:val="0"/>
          <w:numId w:val="7"/>
        </w:numPr>
      </w:pPr>
      <w:r>
        <w:t>The manager may only scan the document.</w:t>
      </w:r>
    </w:p>
    <w:p w:rsidR="002D5EE8" w:rsidRPr="007D5C64" w:rsidRDefault="0021295F" w:rsidP="007D5C64">
      <w:pPr>
        <w:pStyle w:val="ListParagraph"/>
        <w:numPr>
          <w:ilvl w:val="0"/>
          <w:numId w:val="7"/>
        </w:numPr>
      </w:pPr>
      <w:r w:rsidRPr="007D5C64">
        <w:t>When scanning, the eye is drawn to text that stands out – headings, bold type, underlining, text box, color.</w:t>
      </w:r>
    </w:p>
    <w:p w:rsidR="002D5EE8" w:rsidRPr="007D5C64" w:rsidRDefault="0021295F" w:rsidP="007D5C64">
      <w:pPr>
        <w:pStyle w:val="ListParagraph"/>
        <w:numPr>
          <w:ilvl w:val="0"/>
          <w:numId w:val="7"/>
        </w:numPr>
      </w:pPr>
      <w:r w:rsidRPr="007D5C64">
        <w:t>Tables and graphs attract the eye – graphs more so than tables.  Headings/labels must be simple and clear.</w:t>
      </w:r>
    </w:p>
    <w:p w:rsidR="002D5EE8" w:rsidRPr="007D5C64" w:rsidRDefault="0021295F" w:rsidP="007D5C64">
      <w:pPr>
        <w:pStyle w:val="ListParagraph"/>
        <w:numPr>
          <w:ilvl w:val="0"/>
          <w:numId w:val="7"/>
        </w:numPr>
      </w:pPr>
      <w:r w:rsidRPr="007D5C64">
        <w:t>Use simple graphics without too much detail.  Bar charts are better than pie charts.</w:t>
      </w:r>
    </w:p>
    <w:p w:rsidR="007D5C64" w:rsidRDefault="007D5C64" w:rsidP="002F629E">
      <w:pPr>
        <w:pStyle w:val="ListParagraph"/>
        <w:numPr>
          <w:ilvl w:val="0"/>
          <w:numId w:val="7"/>
        </w:numPr>
      </w:pPr>
      <w:r>
        <w:t>Use section headings and chart titles that tell you what comes next – they are engaging.</w:t>
      </w:r>
    </w:p>
    <w:p w:rsidR="002F629E" w:rsidRDefault="002F629E" w:rsidP="00E57132">
      <w:pPr>
        <w:rPr>
          <w:lang w:val="en-US"/>
        </w:rPr>
      </w:pPr>
    </w:p>
    <w:p w:rsidR="00E57132" w:rsidRPr="001D422A" w:rsidRDefault="00E57132">
      <w:pPr>
        <w:rPr>
          <w:lang w:val="en-US"/>
        </w:rPr>
      </w:pPr>
    </w:p>
    <w:sectPr w:rsidR="00E57132" w:rsidRPr="001D422A">
      <w:footerReference w:type="default" r:id="rId3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D43" w:rsidRDefault="00824D43" w:rsidP="00B438AA">
      <w:pPr>
        <w:spacing w:after="0" w:line="240" w:lineRule="auto"/>
      </w:pPr>
      <w:r>
        <w:separator/>
      </w:r>
    </w:p>
  </w:endnote>
  <w:endnote w:type="continuationSeparator" w:id="0">
    <w:p w:rsidR="00824D43" w:rsidRDefault="00824D43" w:rsidP="00B43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6CB" w:rsidRDefault="009046CB">
    <w:pPr>
      <w:pStyle w:val="Footer"/>
      <w:jc w:val="right"/>
    </w:pPr>
    <w:r>
      <w:t>MGSC 1206 Winter 2020</w:t>
    </w:r>
    <w:r>
      <w:tab/>
      <w:t>Guidance on writing reports</w:t>
    </w:r>
    <w:r>
      <w:tab/>
    </w:r>
    <w:sdt>
      <w:sdtPr>
        <w:id w:val="-2012830006"/>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p w:rsidR="009046CB" w:rsidRDefault="009046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D43" w:rsidRDefault="00824D43" w:rsidP="00B438AA">
      <w:pPr>
        <w:spacing w:after="0" w:line="240" w:lineRule="auto"/>
      </w:pPr>
      <w:r>
        <w:separator/>
      </w:r>
    </w:p>
  </w:footnote>
  <w:footnote w:type="continuationSeparator" w:id="0">
    <w:p w:rsidR="00824D43" w:rsidRDefault="00824D43" w:rsidP="00B438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088B"/>
    <w:multiLevelType w:val="hybridMultilevel"/>
    <w:tmpl w:val="D22ECC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F51A97"/>
    <w:multiLevelType w:val="hybridMultilevel"/>
    <w:tmpl w:val="A9F8F8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DE7CE3"/>
    <w:multiLevelType w:val="hybridMultilevel"/>
    <w:tmpl w:val="A60A3B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A84A73"/>
    <w:multiLevelType w:val="hybridMultilevel"/>
    <w:tmpl w:val="D5FEFE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627795A"/>
    <w:multiLevelType w:val="hybridMultilevel"/>
    <w:tmpl w:val="78DAD500"/>
    <w:lvl w:ilvl="0" w:tplc="32148D52">
      <w:start w:val="3"/>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2751955"/>
    <w:multiLevelType w:val="multilevel"/>
    <w:tmpl w:val="2CA03B70"/>
    <w:lvl w:ilvl="0">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26B06728"/>
    <w:multiLevelType w:val="hybridMultilevel"/>
    <w:tmpl w:val="4F62E8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A4F20B1"/>
    <w:multiLevelType w:val="hybridMultilevel"/>
    <w:tmpl w:val="F47271A8"/>
    <w:lvl w:ilvl="0" w:tplc="84C8725E">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BB47451"/>
    <w:multiLevelType w:val="hybridMultilevel"/>
    <w:tmpl w:val="2DD469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E8E6BDC"/>
    <w:multiLevelType w:val="multilevel"/>
    <w:tmpl w:val="4E4E6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3678E0"/>
    <w:multiLevelType w:val="hybridMultilevel"/>
    <w:tmpl w:val="05CA7F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8225612"/>
    <w:multiLevelType w:val="hybridMultilevel"/>
    <w:tmpl w:val="579081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D4901F6"/>
    <w:multiLevelType w:val="hybridMultilevel"/>
    <w:tmpl w:val="2076A0BE"/>
    <w:lvl w:ilvl="0" w:tplc="5276D54C">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CC7EB5"/>
    <w:multiLevelType w:val="multilevel"/>
    <w:tmpl w:val="89C83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B42275"/>
    <w:multiLevelType w:val="hybridMultilevel"/>
    <w:tmpl w:val="2B9427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F2B6F29"/>
    <w:multiLevelType w:val="hybridMultilevel"/>
    <w:tmpl w:val="A9F0C562"/>
    <w:lvl w:ilvl="0" w:tplc="D20E0FFA">
      <w:start w:val="1"/>
      <w:numFmt w:val="bullet"/>
      <w:lvlText w:val="•"/>
      <w:lvlJc w:val="left"/>
      <w:pPr>
        <w:tabs>
          <w:tab w:val="num" w:pos="720"/>
        </w:tabs>
        <w:ind w:left="720" w:hanging="360"/>
      </w:pPr>
      <w:rPr>
        <w:rFonts w:ascii="Arial" w:hAnsi="Arial" w:hint="default"/>
      </w:rPr>
    </w:lvl>
    <w:lvl w:ilvl="1" w:tplc="46768B82" w:tentative="1">
      <w:start w:val="1"/>
      <w:numFmt w:val="bullet"/>
      <w:lvlText w:val="•"/>
      <w:lvlJc w:val="left"/>
      <w:pPr>
        <w:tabs>
          <w:tab w:val="num" w:pos="1440"/>
        </w:tabs>
        <w:ind w:left="1440" w:hanging="360"/>
      </w:pPr>
      <w:rPr>
        <w:rFonts w:ascii="Arial" w:hAnsi="Arial" w:hint="default"/>
      </w:rPr>
    </w:lvl>
    <w:lvl w:ilvl="2" w:tplc="9A46DB56" w:tentative="1">
      <w:start w:val="1"/>
      <w:numFmt w:val="bullet"/>
      <w:lvlText w:val="•"/>
      <w:lvlJc w:val="left"/>
      <w:pPr>
        <w:tabs>
          <w:tab w:val="num" w:pos="2160"/>
        </w:tabs>
        <w:ind w:left="2160" w:hanging="360"/>
      </w:pPr>
      <w:rPr>
        <w:rFonts w:ascii="Arial" w:hAnsi="Arial" w:hint="default"/>
      </w:rPr>
    </w:lvl>
    <w:lvl w:ilvl="3" w:tplc="0C74287E" w:tentative="1">
      <w:start w:val="1"/>
      <w:numFmt w:val="bullet"/>
      <w:lvlText w:val="•"/>
      <w:lvlJc w:val="left"/>
      <w:pPr>
        <w:tabs>
          <w:tab w:val="num" w:pos="2880"/>
        </w:tabs>
        <w:ind w:left="2880" w:hanging="360"/>
      </w:pPr>
      <w:rPr>
        <w:rFonts w:ascii="Arial" w:hAnsi="Arial" w:hint="default"/>
      </w:rPr>
    </w:lvl>
    <w:lvl w:ilvl="4" w:tplc="BF34D354" w:tentative="1">
      <w:start w:val="1"/>
      <w:numFmt w:val="bullet"/>
      <w:lvlText w:val="•"/>
      <w:lvlJc w:val="left"/>
      <w:pPr>
        <w:tabs>
          <w:tab w:val="num" w:pos="3600"/>
        </w:tabs>
        <w:ind w:left="3600" w:hanging="360"/>
      </w:pPr>
      <w:rPr>
        <w:rFonts w:ascii="Arial" w:hAnsi="Arial" w:hint="default"/>
      </w:rPr>
    </w:lvl>
    <w:lvl w:ilvl="5" w:tplc="E612F398" w:tentative="1">
      <w:start w:val="1"/>
      <w:numFmt w:val="bullet"/>
      <w:lvlText w:val="•"/>
      <w:lvlJc w:val="left"/>
      <w:pPr>
        <w:tabs>
          <w:tab w:val="num" w:pos="4320"/>
        </w:tabs>
        <w:ind w:left="4320" w:hanging="360"/>
      </w:pPr>
      <w:rPr>
        <w:rFonts w:ascii="Arial" w:hAnsi="Arial" w:hint="default"/>
      </w:rPr>
    </w:lvl>
    <w:lvl w:ilvl="6" w:tplc="AB8A60FC" w:tentative="1">
      <w:start w:val="1"/>
      <w:numFmt w:val="bullet"/>
      <w:lvlText w:val="•"/>
      <w:lvlJc w:val="left"/>
      <w:pPr>
        <w:tabs>
          <w:tab w:val="num" w:pos="5040"/>
        </w:tabs>
        <w:ind w:left="5040" w:hanging="360"/>
      </w:pPr>
      <w:rPr>
        <w:rFonts w:ascii="Arial" w:hAnsi="Arial" w:hint="default"/>
      </w:rPr>
    </w:lvl>
    <w:lvl w:ilvl="7" w:tplc="0BD2FD32" w:tentative="1">
      <w:start w:val="1"/>
      <w:numFmt w:val="bullet"/>
      <w:lvlText w:val="•"/>
      <w:lvlJc w:val="left"/>
      <w:pPr>
        <w:tabs>
          <w:tab w:val="num" w:pos="5760"/>
        </w:tabs>
        <w:ind w:left="5760" w:hanging="360"/>
      </w:pPr>
      <w:rPr>
        <w:rFonts w:ascii="Arial" w:hAnsi="Arial" w:hint="default"/>
      </w:rPr>
    </w:lvl>
    <w:lvl w:ilvl="8" w:tplc="180E5862"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2"/>
  </w:num>
  <w:num w:numId="3">
    <w:abstractNumId w:val="14"/>
  </w:num>
  <w:num w:numId="4">
    <w:abstractNumId w:val="13"/>
  </w:num>
  <w:num w:numId="5">
    <w:abstractNumId w:val="9"/>
  </w:num>
  <w:num w:numId="6">
    <w:abstractNumId w:val="3"/>
  </w:num>
  <w:num w:numId="7">
    <w:abstractNumId w:val="0"/>
  </w:num>
  <w:num w:numId="8">
    <w:abstractNumId w:val="12"/>
  </w:num>
  <w:num w:numId="9">
    <w:abstractNumId w:val="7"/>
  </w:num>
  <w:num w:numId="10">
    <w:abstractNumId w:val="5"/>
  </w:num>
  <w:num w:numId="11">
    <w:abstractNumId w:val="4"/>
  </w:num>
  <w:num w:numId="12">
    <w:abstractNumId w:val="8"/>
  </w:num>
  <w:num w:numId="13">
    <w:abstractNumId w:val="1"/>
  </w:num>
  <w:num w:numId="14">
    <w:abstractNumId w:val="10"/>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AC"/>
    <w:rsid w:val="00044AF4"/>
    <w:rsid w:val="000D07FD"/>
    <w:rsid w:val="000D0E1F"/>
    <w:rsid w:val="000F4366"/>
    <w:rsid w:val="00155AD4"/>
    <w:rsid w:val="00190AAF"/>
    <w:rsid w:val="001C1F8F"/>
    <w:rsid w:val="001D422A"/>
    <w:rsid w:val="001D4864"/>
    <w:rsid w:val="001E11F7"/>
    <w:rsid w:val="001E7317"/>
    <w:rsid w:val="00200FFA"/>
    <w:rsid w:val="0021295F"/>
    <w:rsid w:val="00225C68"/>
    <w:rsid w:val="00272ED5"/>
    <w:rsid w:val="002D5EE8"/>
    <w:rsid w:val="002F629E"/>
    <w:rsid w:val="0031706B"/>
    <w:rsid w:val="003343E6"/>
    <w:rsid w:val="00335BAA"/>
    <w:rsid w:val="00405DA1"/>
    <w:rsid w:val="004506BE"/>
    <w:rsid w:val="00461B31"/>
    <w:rsid w:val="004643DF"/>
    <w:rsid w:val="00467D12"/>
    <w:rsid w:val="004A6407"/>
    <w:rsid w:val="004B5EBB"/>
    <w:rsid w:val="004C73B7"/>
    <w:rsid w:val="004E7C37"/>
    <w:rsid w:val="00543D5C"/>
    <w:rsid w:val="00637338"/>
    <w:rsid w:val="0064415A"/>
    <w:rsid w:val="00700CAB"/>
    <w:rsid w:val="0071285D"/>
    <w:rsid w:val="00737C4C"/>
    <w:rsid w:val="007C65E0"/>
    <w:rsid w:val="007D5C64"/>
    <w:rsid w:val="00800CA9"/>
    <w:rsid w:val="00810336"/>
    <w:rsid w:val="00824D43"/>
    <w:rsid w:val="008874D3"/>
    <w:rsid w:val="008901B3"/>
    <w:rsid w:val="009046CB"/>
    <w:rsid w:val="009716C3"/>
    <w:rsid w:val="00971B16"/>
    <w:rsid w:val="009A3689"/>
    <w:rsid w:val="009C2C4D"/>
    <w:rsid w:val="00A20E54"/>
    <w:rsid w:val="00A46CAC"/>
    <w:rsid w:val="00B1663F"/>
    <w:rsid w:val="00B438AA"/>
    <w:rsid w:val="00BA72B7"/>
    <w:rsid w:val="00C96003"/>
    <w:rsid w:val="00CC5E6A"/>
    <w:rsid w:val="00D33657"/>
    <w:rsid w:val="00D96150"/>
    <w:rsid w:val="00DB0808"/>
    <w:rsid w:val="00DC4B01"/>
    <w:rsid w:val="00DC6F74"/>
    <w:rsid w:val="00DE44FD"/>
    <w:rsid w:val="00E37024"/>
    <w:rsid w:val="00E57132"/>
    <w:rsid w:val="00E57E18"/>
    <w:rsid w:val="00F35D47"/>
    <w:rsid w:val="00F36683"/>
    <w:rsid w:val="00F56F12"/>
    <w:rsid w:val="00FA1D4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7D7C1-333F-4326-9D42-0C916F43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CAC"/>
    <w:pPr>
      <w:ind w:left="720"/>
      <w:contextualSpacing/>
    </w:pPr>
  </w:style>
  <w:style w:type="table" w:styleId="TableGrid">
    <w:name w:val="Table Grid"/>
    <w:basedOn w:val="TableNormal"/>
    <w:uiPriority w:val="39"/>
    <w:rsid w:val="00A46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B16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Header">
    <w:name w:val="header"/>
    <w:basedOn w:val="Normal"/>
    <w:link w:val="HeaderChar"/>
    <w:uiPriority w:val="99"/>
    <w:unhideWhenUsed/>
    <w:rsid w:val="00B43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8AA"/>
  </w:style>
  <w:style w:type="paragraph" w:styleId="Footer">
    <w:name w:val="footer"/>
    <w:basedOn w:val="Normal"/>
    <w:link w:val="FooterChar"/>
    <w:uiPriority w:val="99"/>
    <w:unhideWhenUsed/>
    <w:rsid w:val="00B43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889402">
      <w:bodyDiv w:val="1"/>
      <w:marLeft w:val="0"/>
      <w:marRight w:val="0"/>
      <w:marTop w:val="0"/>
      <w:marBottom w:val="0"/>
      <w:divBdr>
        <w:top w:val="none" w:sz="0" w:space="0" w:color="auto"/>
        <w:left w:val="none" w:sz="0" w:space="0" w:color="auto"/>
        <w:bottom w:val="none" w:sz="0" w:space="0" w:color="auto"/>
        <w:right w:val="none" w:sz="0" w:space="0" w:color="auto"/>
      </w:divBdr>
    </w:div>
    <w:div w:id="1330254724">
      <w:bodyDiv w:val="1"/>
      <w:marLeft w:val="0"/>
      <w:marRight w:val="0"/>
      <w:marTop w:val="0"/>
      <w:marBottom w:val="0"/>
      <w:divBdr>
        <w:top w:val="none" w:sz="0" w:space="0" w:color="auto"/>
        <w:left w:val="none" w:sz="0" w:space="0" w:color="auto"/>
        <w:bottom w:val="none" w:sz="0" w:space="0" w:color="auto"/>
        <w:right w:val="none" w:sz="0" w:space="0" w:color="auto"/>
      </w:divBdr>
      <w:divsChild>
        <w:div w:id="78137149">
          <w:marLeft w:val="720"/>
          <w:marRight w:val="0"/>
          <w:marTop w:val="0"/>
          <w:marBottom w:val="160"/>
          <w:divBdr>
            <w:top w:val="none" w:sz="0" w:space="0" w:color="auto"/>
            <w:left w:val="none" w:sz="0" w:space="0" w:color="auto"/>
            <w:bottom w:val="none" w:sz="0" w:space="0" w:color="auto"/>
            <w:right w:val="none" w:sz="0" w:space="0" w:color="auto"/>
          </w:divBdr>
        </w:div>
        <w:div w:id="418213767">
          <w:marLeft w:val="720"/>
          <w:marRight w:val="0"/>
          <w:marTop w:val="0"/>
          <w:marBottom w:val="160"/>
          <w:divBdr>
            <w:top w:val="none" w:sz="0" w:space="0" w:color="auto"/>
            <w:left w:val="none" w:sz="0" w:space="0" w:color="auto"/>
            <w:bottom w:val="none" w:sz="0" w:space="0" w:color="auto"/>
            <w:right w:val="none" w:sz="0" w:space="0" w:color="auto"/>
          </w:divBdr>
        </w:div>
        <w:div w:id="704256010">
          <w:marLeft w:val="720"/>
          <w:marRight w:val="0"/>
          <w:marTop w:val="0"/>
          <w:marBottom w:val="160"/>
          <w:divBdr>
            <w:top w:val="none" w:sz="0" w:space="0" w:color="auto"/>
            <w:left w:val="none" w:sz="0" w:space="0" w:color="auto"/>
            <w:bottom w:val="none" w:sz="0" w:space="0" w:color="auto"/>
            <w:right w:val="none" w:sz="0" w:space="0" w:color="auto"/>
          </w:divBdr>
        </w:div>
      </w:divsChild>
    </w:div>
    <w:div w:id="145525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7.xml"/><Relationship Id="rId18" Type="http://schemas.openxmlformats.org/officeDocument/2006/relationships/chart" Target="charts/chart12.xml"/><Relationship Id="rId26" Type="http://schemas.openxmlformats.org/officeDocument/2006/relationships/image" Target="media/image4.emf"/><Relationship Id="rId39" Type="http://schemas.openxmlformats.org/officeDocument/2006/relationships/fontTable" Target="fontTable.xml"/><Relationship Id="rId21" Type="http://schemas.openxmlformats.org/officeDocument/2006/relationships/chart" Target="charts/chart15.xml"/><Relationship Id="rId34" Type="http://schemas.openxmlformats.org/officeDocument/2006/relationships/image" Target="media/image8.png"/><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5" Type="http://schemas.openxmlformats.org/officeDocument/2006/relationships/image" Target="media/image3.emf"/><Relationship Id="rId33" Type="http://schemas.openxmlformats.org/officeDocument/2006/relationships/image" Target="media/image7.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chart" Target="charts/chart14.xml"/><Relationship Id="rId29" Type="http://schemas.microsoft.com/office/2014/relationships/chartEx" Target="charts/chartEx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image" Target="media/image2.emf"/><Relationship Id="rId32" Type="http://schemas.openxmlformats.org/officeDocument/2006/relationships/image" Target="media/image6.emf"/><Relationship Id="rId37" Type="http://schemas.openxmlformats.org/officeDocument/2006/relationships/chart" Target="charts/chart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image" Target="media/image1.emf"/><Relationship Id="rId28" Type="http://schemas.openxmlformats.org/officeDocument/2006/relationships/chart" Target="charts/chart18.xml"/><Relationship Id="rId36" Type="http://schemas.openxmlformats.org/officeDocument/2006/relationships/image" Target="media/image10.png"/><Relationship Id="rId10" Type="http://schemas.openxmlformats.org/officeDocument/2006/relationships/chart" Target="charts/chart4.xml"/><Relationship Id="rId19" Type="http://schemas.openxmlformats.org/officeDocument/2006/relationships/chart" Target="charts/chart13.xml"/><Relationship Id="rId31"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6.xml"/><Relationship Id="rId27" Type="http://schemas.openxmlformats.org/officeDocument/2006/relationships/chart" Target="charts/chart17.xml"/><Relationship Id="rId30" Type="http://schemas.openxmlformats.org/officeDocument/2006/relationships/image" Target="media/image5.png"/><Relationship Id="rId35" Type="http://schemas.openxmlformats.org/officeDocument/2006/relationships/image" Target="media/image9.png"/><Relationship Id="rId8" Type="http://schemas.openxmlformats.org/officeDocument/2006/relationships/chart" Target="charts/chart2.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Data%20Files\MGSC%201206%20class%20survey%20fall%20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fall%202019\Data%20Files\MGSC%201206%20class%20survey%20fall%2020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1687448\Documents\MPHEC\Enrolment%202018-19%20v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1687448\Documents\MPHEC\Enrolment%202018-19%20v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Winter%202020\Project\chart%20example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fall%202019\Assignments\Credit%20assignment%203.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s1687448\Documents\My%20Courses\MGSC%201207%20Intro%20Data%20Analytics\fall%202019\Assignments\Credit%20assignment%203.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s1687448\Documents\Enrolment%20Mgt\Reports\applicants\Dont%20count%20your%20chickens.xlsx" TargetMode="Externa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chartUserShapes" Target="../drawings/drawing1.xml"/></Relationships>
</file>

<file path=word/charts/_rels/chartEx1.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s1687448\Documents\My%20Courses\MGSC%201207%20Intro%20Data%20Analytics\fall%202019\Assignments\Credit%20assignment%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'MGSC 1206 Fall 2019 Class Surve'!$L$1</c:f>
              <c:strCache>
                <c:ptCount val="1"/>
                <c:pt idx="0">
                  <c:v>What was your approximate average (out of 100) in high school?</c:v>
                </c:pt>
              </c:strCache>
            </c:strRef>
          </c:tx>
          <c:spPr>
            <a:ln w="19050" cap="rnd">
              <a:noFill/>
              <a:round/>
            </a:ln>
            <a:effectLst/>
          </c:spPr>
          <c:marker>
            <c:symbol val="circle"/>
            <c:size val="5"/>
            <c:spPr>
              <a:solidFill>
                <a:schemeClr val="accent1"/>
              </a:solidFill>
              <a:ln w="9525">
                <a:solidFill>
                  <a:schemeClr val="accent1"/>
                </a:solidFill>
              </a:ln>
              <a:effectLst/>
            </c:spPr>
          </c:marker>
          <c:xVal>
            <c:numRef>
              <c:f>'MGSC 1206 Fall 2019 Class Surve'!$K$2:$K$149</c:f>
              <c:numCache>
                <c:formatCode>General</c:formatCode>
                <c:ptCount val="148"/>
                <c:pt idx="0">
                  <c:v>3.91</c:v>
                </c:pt>
                <c:pt idx="1">
                  <c:v>2.1</c:v>
                </c:pt>
                <c:pt idx="2">
                  <c:v>3.5</c:v>
                </c:pt>
                <c:pt idx="3">
                  <c:v>2</c:v>
                </c:pt>
                <c:pt idx="4">
                  <c:v>1.41</c:v>
                </c:pt>
                <c:pt idx="6">
                  <c:v>3.15</c:v>
                </c:pt>
                <c:pt idx="7">
                  <c:v>1.4</c:v>
                </c:pt>
                <c:pt idx="8">
                  <c:v>3.72</c:v>
                </c:pt>
                <c:pt idx="10">
                  <c:v>1.3</c:v>
                </c:pt>
                <c:pt idx="11">
                  <c:v>2.5499999999999998</c:v>
                </c:pt>
                <c:pt idx="15">
                  <c:v>2.5</c:v>
                </c:pt>
                <c:pt idx="17">
                  <c:v>4</c:v>
                </c:pt>
                <c:pt idx="18">
                  <c:v>3</c:v>
                </c:pt>
                <c:pt idx="19">
                  <c:v>2.06</c:v>
                </c:pt>
                <c:pt idx="21">
                  <c:v>3</c:v>
                </c:pt>
                <c:pt idx="24">
                  <c:v>1.6</c:v>
                </c:pt>
                <c:pt idx="26">
                  <c:v>2.5</c:v>
                </c:pt>
                <c:pt idx="27">
                  <c:v>2.46</c:v>
                </c:pt>
                <c:pt idx="29">
                  <c:v>2</c:v>
                </c:pt>
                <c:pt idx="30">
                  <c:v>2.96</c:v>
                </c:pt>
                <c:pt idx="31">
                  <c:v>4</c:v>
                </c:pt>
                <c:pt idx="32">
                  <c:v>2.5</c:v>
                </c:pt>
                <c:pt idx="33">
                  <c:v>2.98</c:v>
                </c:pt>
                <c:pt idx="35">
                  <c:v>2</c:v>
                </c:pt>
                <c:pt idx="37">
                  <c:v>3.43</c:v>
                </c:pt>
                <c:pt idx="38">
                  <c:v>2.4</c:v>
                </c:pt>
                <c:pt idx="40">
                  <c:v>1.4</c:v>
                </c:pt>
                <c:pt idx="41">
                  <c:v>2</c:v>
                </c:pt>
                <c:pt idx="44">
                  <c:v>2.2999999999999998</c:v>
                </c:pt>
                <c:pt idx="45">
                  <c:v>2</c:v>
                </c:pt>
                <c:pt idx="48">
                  <c:v>1.7</c:v>
                </c:pt>
                <c:pt idx="50">
                  <c:v>3.63</c:v>
                </c:pt>
                <c:pt idx="55">
                  <c:v>2.85</c:v>
                </c:pt>
                <c:pt idx="57">
                  <c:v>3.67</c:v>
                </c:pt>
                <c:pt idx="58">
                  <c:v>2.95</c:v>
                </c:pt>
                <c:pt idx="59">
                  <c:v>2.5</c:v>
                </c:pt>
                <c:pt idx="61">
                  <c:v>2</c:v>
                </c:pt>
                <c:pt idx="62">
                  <c:v>2.5</c:v>
                </c:pt>
                <c:pt idx="63">
                  <c:v>3.27</c:v>
                </c:pt>
                <c:pt idx="64">
                  <c:v>0</c:v>
                </c:pt>
                <c:pt idx="65">
                  <c:v>2.7</c:v>
                </c:pt>
                <c:pt idx="66">
                  <c:v>1.8</c:v>
                </c:pt>
                <c:pt idx="67">
                  <c:v>3</c:v>
                </c:pt>
                <c:pt idx="68">
                  <c:v>1.7</c:v>
                </c:pt>
                <c:pt idx="69">
                  <c:v>3</c:v>
                </c:pt>
                <c:pt idx="70">
                  <c:v>2.75</c:v>
                </c:pt>
                <c:pt idx="71">
                  <c:v>3.3</c:v>
                </c:pt>
                <c:pt idx="73">
                  <c:v>3</c:v>
                </c:pt>
                <c:pt idx="74">
                  <c:v>3</c:v>
                </c:pt>
                <c:pt idx="76">
                  <c:v>2.5</c:v>
                </c:pt>
                <c:pt idx="77">
                  <c:v>3.8</c:v>
                </c:pt>
                <c:pt idx="78">
                  <c:v>3.8</c:v>
                </c:pt>
                <c:pt idx="79">
                  <c:v>3.42</c:v>
                </c:pt>
                <c:pt idx="80">
                  <c:v>3.23</c:v>
                </c:pt>
                <c:pt idx="83">
                  <c:v>2.63</c:v>
                </c:pt>
                <c:pt idx="84">
                  <c:v>2</c:v>
                </c:pt>
                <c:pt idx="87">
                  <c:v>2.4</c:v>
                </c:pt>
                <c:pt idx="88">
                  <c:v>1.7</c:v>
                </c:pt>
                <c:pt idx="89">
                  <c:v>15</c:v>
                </c:pt>
                <c:pt idx="93">
                  <c:v>2.4</c:v>
                </c:pt>
                <c:pt idx="94">
                  <c:v>1.3</c:v>
                </c:pt>
                <c:pt idx="96">
                  <c:v>2.5</c:v>
                </c:pt>
                <c:pt idx="98">
                  <c:v>2.06</c:v>
                </c:pt>
                <c:pt idx="100">
                  <c:v>1.96</c:v>
                </c:pt>
                <c:pt idx="103">
                  <c:v>2.52</c:v>
                </c:pt>
                <c:pt idx="104">
                  <c:v>2.8</c:v>
                </c:pt>
                <c:pt idx="105">
                  <c:v>3.51</c:v>
                </c:pt>
                <c:pt idx="106">
                  <c:v>2.68</c:v>
                </c:pt>
                <c:pt idx="109">
                  <c:v>3</c:v>
                </c:pt>
                <c:pt idx="117">
                  <c:v>4.2300000000000004</c:v>
                </c:pt>
                <c:pt idx="118">
                  <c:v>3.8</c:v>
                </c:pt>
                <c:pt idx="119">
                  <c:v>2.78</c:v>
                </c:pt>
                <c:pt idx="120">
                  <c:v>2.2000000000000002</c:v>
                </c:pt>
                <c:pt idx="121">
                  <c:v>3.3</c:v>
                </c:pt>
                <c:pt idx="122">
                  <c:v>3.7</c:v>
                </c:pt>
                <c:pt idx="123">
                  <c:v>2</c:v>
                </c:pt>
                <c:pt idx="124">
                  <c:v>1.86</c:v>
                </c:pt>
                <c:pt idx="125">
                  <c:v>2.7</c:v>
                </c:pt>
                <c:pt idx="126">
                  <c:v>3</c:v>
                </c:pt>
                <c:pt idx="127">
                  <c:v>3.7</c:v>
                </c:pt>
                <c:pt idx="130">
                  <c:v>1.39</c:v>
                </c:pt>
                <c:pt idx="131">
                  <c:v>3.2</c:v>
                </c:pt>
                <c:pt idx="133">
                  <c:v>1.6</c:v>
                </c:pt>
                <c:pt idx="134">
                  <c:v>2.8</c:v>
                </c:pt>
                <c:pt idx="135">
                  <c:v>2.64</c:v>
                </c:pt>
                <c:pt idx="136">
                  <c:v>2</c:v>
                </c:pt>
                <c:pt idx="138">
                  <c:v>4.05</c:v>
                </c:pt>
                <c:pt idx="139">
                  <c:v>3.65</c:v>
                </c:pt>
                <c:pt idx="142">
                  <c:v>3.2</c:v>
                </c:pt>
                <c:pt idx="143">
                  <c:v>2.65</c:v>
                </c:pt>
                <c:pt idx="145">
                  <c:v>3.6</c:v>
                </c:pt>
                <c:pt idx="147">
                  <c:v>1</c:v>
                </c:pt>
              </c:numCache>
            </c:numRef>
          </c:xVal>
          <c:yVal>
            <c:numRef>
              <c:f>'MGSC 1206 Fall 2019 Class Surve'!$L$2:$L$149</c:f>
              <c:numCache>
                <c:formatCode>General</c:formatCode>
                <c:ptCount val="148"/>
                <c:pt idx="0">
                  <c:v>80</c:v>
                </c:pt>
                <c:pt idx="1">
                  <c:v>83</c:v>
                </c:pt>
                <c:pt idx="2">
                  <c:v>70</c:v>
                </c:pt>
                <c:pt idx="3">
                  <c:v>90</c:v>
                </c:pt>
                <c:pt idx="4">
                  <c:v>70</c:v>
                </c:pt>
                <c:pt idx="6">
                  <c:v>90</c:v>
                </c:pt>
                <c:pt idx="7">
                  <c:v>70</c:v>
                </c:pt>
                <c:pt idx="8">
                  <c:v>95</c:v>
                </c:pt>
                <c:pt idx="9">
                  <c:v>70</c:v>
                </c:pt>
                <c:pt idx="10">
                  <c:v>70</c:v>
                </c:pt>
                <c:pt idx="11">
                  <c:v>85</c:v>
                </c:pt>
                <c:pt idx="12">
                  <c:v>85</c:v>
                </c:pt>
                <c:pt idx="13">
                  <c:v>80</c:v>
                </c:pt>
                <c:pt idx="15">
                  <c:v>80</c:v>
                </c:pt>
                <c:pt idx="16">
                  <c:v>85</c:v>
                </c:pt>
                <c:pt idx="17">
                  <c:v>75</c:v>
                </c:pt>
                <c:pt idx="18">
                  <c:v>93</c:v>
                </c:pt>
                <c:pt idx="19">
                  <c:v>66</c:v>
                </c:pt>
                <c:pt idx="20">
                  <c:v>87</c:v>
                </c:pt>
                <c:pt idx="21">
                  <c:v>90</c:v>
                </c:pt>
                <c:pt idx="22">
                  <c:v>85</c:v>
                </c:pt>
                <c:pt idx="23">
                  <c:v>70</c:v>
                </c:pt>
                <c:pt idx="24">
                  <c:v>75</c:v>
                </c:pt>
                <c:pt idx="26">
                  <c:v>75</c:v>
                </c:pt>
                <c:pt idx="27">
                  <c:v>84</c:v>
                </c:pt>
                <c:pt idx="28">
                  <c:v>96</c:v>
                </c:pt>
                <c:pt idx="29">
                  <c:v>80</c:v>
                </c:pt>
                <c:pt idx="30">
                  <c:v>80</c:v>
                </c:pt>
                <c:pt idx="31">
                  <c:v>83</c:v>
                </c:pt>
                <c:pt idx="32">
                  <c:v>80</c:v>
                </c:pt>
                <c:pt idx="33">
                  <c:v>93</c:v>
                </c:pt>
                <c:pt idx="34">
                  <c:v>60</c:v>
                </c:pt>
                <c:pt idx="35">
                  <c:v>78</c:v>
                </c:pt>
                <c:pt idx="36">
                  <c:v>70</c:v>
                </c:pt>
                <c:pt idx="37">
                  <c:v>80</c:v>
                </c:pt>
                <c:pt idx="38">
                  <c:v>86</c:v>
                </c:pt>
                <c:pt idx="39">
                  <c:v>88</c:v>
                </c:pt>
                <c:pt idx="40">
                  <c:v>85</c:v>
                </c:pt>
                <c:pt idx="41">
                  <c:v>80</c:v>
                </c:pt>
                <c:pt idx="42">
                  <c:v>89</c:v>
                </c:pt>
                <c:pt idx="43">
                  <c:v>86</c:v>
                </c:pt>
                <c:pt idx="44">
                  <c:v>70</c:v>
                </c:pt>
                <c:pt idx="45">
                  <c:v>80</c:v>
                </c:pt>
                <c:pt idx="46">
                  <c:v>75</c:v>
                </c:pt>
                <c:pt idx="47">
                  <c:v>96</c:v>
                </c:pt>
                <c:pt idx="48">
                  <c:v>85</c:v>
                </c:pt>
                <c:pt idx="49">
                  <c:v>94</c:v>
                </c:pt>
                <c:pt idx="50">
                  <c:v>88</c:v>
                </c:pt>
                <c:pt idx="51">
                  <c:v>70</c:v>
                </c:pt>
                <c:pt idx="52">
                  <c:v>76</c:v>
                </c:pt>
                <c:pt idx="54">
                  <c:v>90</c:v>
                </c:pt>
                <c:pt idx="55">
                  <c:v>90</c:v>
                </c:pt>
                <c:pt idx="56">
                  <c:v>75</c:v>
                </c:pt>
                <c:pt idx="57">
                  <c:v>81</c:v>
                </c:pt>
                <c:pt idx="58">
                  <c:v>92</c:v>
                </c:pt>
                <c:pt idx="59">
                  <c:v>80</c:v>
                </c:pt>
                <c:pt idx="60">
                  <c:v>86</c:v>
                </c:pt>
                <c:pt idx="61">
                  <c:v>75</c:v>
                </c:pt>
                <c:pt idx="62">
                  <c:v>91</c:v>
                </c:pt>
                <c:pt idx="63">
                  <c:v>70</c:v>
                </c:pt>
                <c:pt idx="64">
                  <c:v>80</c:v>
                </c:pt>
                <c:pt idx="65">
                  <c:v>75</c:v>
                </c:pt>
                <c:pt idx="66">
                  <c:v>70</c:v>
                </c:pt>
                <c:pt idx="67">
                  <c:v>85</c:v>
                </c:pt>
                <c:pt idx="68">
                  <c:v>79</c:v>
                </c:pt>
                <c:pt idx="69">
                  <c:v>85</c:v>
                </c:pt>
                <c:pt idx="70">
                  <c:v>85</c:v>
                </c:pt>
                <c:pt idx="71">
                  <c:v>90</c:v>
                </c:pt>
                <c:pt idx="72">
                  <c:v>75</c:v>
                </c:pt>
                <c:pt idx="73">
                  <c:v>80</c:v>
                </c:pt>
                <c:pt idx="74">
                  <c:v>80</c:v>
                </c:pt>
                <c:pt idx="75">
                  <c:v>85</c:v>
                </c:pt>
                <c:pt idx="76">
                  <c:v>75</c:v>
                </c:pt>
                <c:pt idx="77">
                  <c:v>80</c:v>
                </c:pt>
                <c:pt idx="78">
                  <c:v>95</c:v>
                </c:pt>
                <c:pt idx="79">
                  <c:v>96</c:v>
                </c:pt>
                <c:pt idx="80">
                  <c:v>93</c:v>
                </c:pt>
                <c:pt idx="81">
                  <c:v>70</c:v>
                </c:pt>
                <c:pt idx="82">
                  <c:v>85</c:v>
                </c:pt>
                <c:pt idx="83">
                  <c:v>91</c:v>
                </c:pt>
                <c:pt idx="84">
                  <c:v>0</c:v>
                </c:pt>
                <c:pt idx="85">
                  <c:v>65</c:v>
                </c:pt>
                <c:pt idx="86">
                  <c:v>81</c:v>
                </c:pt>
                <c:pt idx="87">
                  <c:v>80</c:v>
                </c:pt>
                <c:pt idx="88">
                  <c:v>75</c:v>
                </c:pt>
                <c:pt idx="89">
                  <c:v>70</c:v>
                </c:pt>
                <c:pt idx="90">
                  <c:v>70</c:v>
                </c:pt>
                <c:pt idx="91">
                  <c:v>85</c:v>
                </c:pt>
                <c:pt idx="92">
                  <c:v>85</c:v>
                </c:pt>
                <c:pt idx="93">
                  <c:v>70</c:v>
                </c:pt>
                <c:pt idx="94">
                  <c:v>60</c:v>
                </c:pt>
                <c:pt idx="95">
                  <c:v>70</c:v>
                </c:pt>
                <c:pt idx="96">
                  <c:v>80</c:v>
                </c:pt>
                <c:pt idx="98">
                  <c:v>90</c:v>
                </c:pt>
                <c:pt idx="99">
                  <c:v>91</c:v>
                </c:pt>
                <c:pt idx="100">
                  <c:v>74</c:v>
                </c:pt>
                <c:pt idx="102">
                  <c:v>82</c:v>
                </c:pt>
                <c:pt idx="103">
                  <c:v>80</c:v>
                </c:pt>
                <c:pt idx="104">
                  <c:v>80</c:v>
                </c:pt>
                <c:pt idx="105">
                  <c:v>85</c:v>
                </c:pt>
                <c:pt idx="106">
                  <c:v>86</c:v>
                </c:pt>
                <c:pt idx="107">
                  <c:v>85</c:v>
                </c:pt>
                <c:pt idx="108">
                  <c:v>83</c:v>
                </c:pt>
                <c:pt idx="110">
                  <c:v>89</c:v>
                </c:pt>
                <c:pt idx="111">
                  <c:v>70</c:v>
                </c:pt>
                <c:pt idx="112">
                  <c:v>85</c:v>
                </c:pt>
                <c:pt idx="113">
                  <c:v>78</c:v>
                </c:pt>
                <c:pt idx="114">
                  <c:v>80</c:v>
                </c:pt>
                <c:pt idx="115">
                  <c:v>70</c:v>
                </c:pt>
                <c:pt idx="117">
                  <c:v>83</c:v>
                </c:pt>
                <c:pt idx="118">
                  <c:v>80</c:v>
                </c:pt>
                <c:pt idx="119">
                  <c:v>70</c:v>
                </c:pt>
                <c:pt idx="120">
                  <c:v>85</c:v>
                </c:pt>
                <c:pt idx="121">
                  <c:v>0</c:v>
                </c:pt>
                <c:pt idx="122">
                  <c:v>92</c:v>
                </c:pt>
                <c:pt idx="123">
                  <c:v>80</c:v>
                </c:pt>
                <c:pt idx="124">
                  <c:v>75</c:v>
                </c:pt>
                <c:pt idx="125">
                  <c:v>81</c:v>
                </c:pt>
                <c:pt idx="126">
                  <c:v>71</c:v>
                </c:pt>
                <c:pt idx="127">
                  <c:v>91</c:v>
                </c:pt>
                <c:pt idx="128">
                  <c:v>97</c:v>
                </c:pt>
                <c:pt idx="129">
                  <c:v>93</c:v>
                </c:pt>
                <c:pt idx="130">
                  <c:v>0</c:v>
                </c:pt>
                <c:pt idx="131">
                  <c:v>90</c:v>
                </c:pt>
                <c:pt idx="133">
                  <c:v>70</c:v>
                </c:pt>
                <c:pt idx="134">
                  <c:v>80</c:v>
                </c:pt>
                <c:pt idx="135">
                  <c:v>70</c:v>
                </c:pt>
                <c:pt idx="136">
                  <c:v>80</c:v>
                </c:pt>
                <c:pt idx="137">
                  <c:v>60</c:v>
                </c:pt>
                <c:pt idx="138">
                  <c:v>87</c:v>
                </c:pt>
                <c:pt idx="139">
                  <c:v>85</c:v>
                </c:pt>
                <c:pt idx="140">
                  <c:v>90</c:v>
                </c:pt>
                <c:pt idx="141">
                  <c:v>80</c:v>
                </c:pt>
                <c:pt idx="142">
                  <c:v>75</c:v>
                </c:pt>
                <c:pt idx="143">
                  <c:v>70</c:v>
                </c:pt>
                <c:pt idx="144">
                  <c:v>90</c:v>
                </c:pt>
                <c:pt idx="145">
                  <c:v>99</c:v>
                </c:pt>
                <c:pt idx="146">
                  <c:v>85</c:v>
                </c:pt>
                <c:pt idx="147">
                  <c:v>80</c:v>
                </c:pt>
              </c:numCache>
            </c:numRef>
          </c:yVal>
          <c:smooth val="0"/>
          <c:extLst>
            <c:ext xmlns:c16="http://schemas.microsoft.com/office/drawing/2014/chart" uri="{C3380CC4-5D6E-409C-BE32-E72D297353CC}">
              <c16:uniqueId val="{00000000-9A2B-426E-832E-DE5573A9D5A3}"/>
            </c:ext>
          </c:extLst>
        </c:ser>
        <c:dLbls>
          <c:showLegendKey val="0"/>
          <c:showVal val="0"/>
          <c:showCatName val="0"/>
          <c:showSerName val="0"/>
          <c:showPercent val="0"/>
          <c:showBubbleSize val="0"/>
        </c:dLbls>
        <c:axId val="263035456"/>
        <c:axId val="263500608"/>
      </c:scatterChart>
      <c:valAx>
        <c:axId val="2630354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3500608"/>
        <c:crosses val="autoZero"/>
        <c:crossBetween val="midCat"/>
      </c:valAx>
      <c:valAx>
        <c:axId val="263500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30354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spc="0" baseline="0">
                <a:solidFill>
                  <a:schemeClr val="tx1">
                    <a:lumMod val="65000"/>
                    <a:lumOff val="35000"/>
                  </a:schemeClr>
                </a:solidFill>
                <a:latin typeface="+mn-lt"/>
                <a:ea typeface="+mn-ea"/>
                <a:cs typeface="+mn-cs"/>
              </a:defRPr>
            </a:pPr>
            <a:r>
              <a:rPr lang="en-US" sz="1800" b="1"/>
              <a:t>High School is not a strong predictor of university success</a:t>
            </a:r>
          </a:p>
        </c:rich>
      </c:tx>
      <c:layout>
        <c:manualLayout>
          <c:xMode val="edge"/>
          <c:yMode val="edge"/>
          <c:x val="0.1668913815251199"/>
          <c:y val="2.3138038571032218E-2"/>
        </c:manualLayout>
      </c:layout>
      <c:overlay val="0"/>
      <c:spPr>
        <a:noFill/>
        <a:ln>
          <a:noFill/>
        </a:ln>
        <a:effectLst/>
      </c:spPr>
      <c:txPr>
        <a:bodyPr rot="0" spcFirstLastPara="1" vertOverflow="ellipsis" vert="horz" wrap="square" anchor="ctr" anchorCtr="1"/>
        <a:lstStyle/>
        <a:p>
          <a:pPr>
            <a:defRPr sz="18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Sheet1!$G$1</c:f>
              <c:strCache>
                <c:ptCount val="1"/>
                <c:pt idx="0">
                  <c:v>HS Average</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Sheet1!$F$2:$F$147</c:f>
              <c:numCache>
                <c:formatCode>General</c:formatCode>
                <c:ptCount val="89"/>
                <c:pt idx="0">
                  <c:v>60</c:v>
                </c:pt>
                <c:pt idx="1">
                  <c:v>66</c:v>
                </c:pt>
                <c:pt idx="2">
                  <c:v>70</c:v>
                </c:pt>
                <c:pt idx="3">
                  <c:v>70</c:v>
                </c:pt>
                <c:pt idx="4">
                  <c:v>70</c:v>
                </c:pt>
                <c:pt idx="5">
                  <c:v>70</c:v>
                </c:pt>
                <c:pt idx="6">
                  <c:v>70</c:v>
                </c:pt>
                <c:pt idx="7">
                  <c:v>70</c:v>
                </c:pt>
                <c:pt idx="8">
                  <c:v>70</c:v>
                </c:pt>
                <c:pt idx="9">
                  <c:v>70</c:v>
                </c:pt>
                <c:pt idx="10">
                  <c:v>70</c:v>
                </c:pt>
                <c:pt idx="11">
                  <c:v>70</c:v>
                </c:pt>
                <c:pt idx="12">
                  <c:v>70</c:v>
                </c:pt>
                <c:pt idx="13">
                  <c:v>70</c:v>
                </c:pt>
                <c:pt idx="14">
                  <c:v>71</c:v>
                </c:pt>
                <c:pt idx="15">
                  <c:v>74</c:v>
                </c:pt>
                <c:pt idx="16">
                  <c:v>75</c:v>
                </c:pt>
                <c:pt idx="17">
                  <c:v>75</c:v>
                </c:pt>
                <c:pt idx="18">
                  <c:v>75</c:v>
                </c:pt>
                <c:pt idx="19">
                  <c:v>75</c:v>
                </c:pt>
                <c:pt idx="20">
                  <c:v>75</c:v>
                </c:pt>
                <c:pt idx="21">
                  <c:v>75</c:v>
                </c:pt>
                <c:pt idx="22">
                  <c:v>75</c:v>
                </c:pt>
                <c:pt idx="23">
                  <c:v>75</c:v>
                </c:pt>
                <c:pt idx="24">
                  <c:v>75</c:v>
                </c:pt>
                <c:pt idx="25">
                  <c:v>78</c:v>
                </c:pt>
                <c:pt idx="26">
                  <c:v>78.849999999999994</c:v>
                </c:pt>
                <c:pt idx="27">
                  <c:v>79</c:v>
                </c:pt>
                <c:pt idx="28">
                  <c:v>80</c:v>
                </c:pt>
                <c:pt idx="29">
                  <c:v>80</c:v>
                </c:pt>
                <c:pt idx="30">
                  <c:v>80</c:v>
                </c:pt>
                <c:pt idx="31">
                  <c:v>80</c:v>
                </c:pt>
                <c:pt idx="32">
                  <c:v>80</c:v>
                </c:pt>
                <c:pt idx="33">
                  <c:v>80</c:v>
                </c:pt>
                <c:pt idx="34">
                  <c:v>80</c:v>
                </c:pt>
                <c:pt idx="35">
                  <c:v>80</c:v>
                </c:pt>
                <c:pt idx="36">
                  <c:v>80</c:v>
                </c:pt>
                <c:pt idx="37">
                  <c:v>80</c:v>
                </c:pt>
                <c:pt idx="38">
                  <c:v>80</c:v>
                </c:pt>
                <c:pt idx="39">
                  <c:v>80</c:v>
                </c:pt>
                <c:pt idx="40">
                  <c:v>80</c:v>
                </c:pt>
                <c:pt idx="41">
                  <c:v>80</c:v>
                </c:pt>
                <c:pt idx="42">
                  <c:v>80</c:v>
                </c:pt>
                <c:pt idx="43">
                  <c:v>80</c:v>
                </c:pt>
                <c:pt idx="44">
                  <c:v>80</c:v>
                </c:pt>
                <c:pt idx="45">
                  <c:v>80</c:v>
                </c:pt>
                <c:pt idx="46">
                  <c:v>80</c:v>
                </c:pt>
                <c:pt idx="47">
                  <c:v>80</c:v>
                </c:pt>
                <c:pt idx="48">
                  <c:v>80</c:v>
                </c:pt>
                <c:pt idx="49">
                  <c:v>80</c:v>
                </c:pt>
                <c:pt idx="50">
                  <c:v>81</c:v>
                </c:pt>
                <c:pt idx="51">
                  <c:v>81</c:v>
                </c:pt>
                <c:pt idx="52">
                  <c:v>83</c:v>
                </c:pt>
                <c:pt idx="53">
                  <c:v>83</c:v>
                </c:pt>
                <c:pt idx="54">
                  <c:v>83</c:v>
                </c:pt>
                <c:pt idx="55">
                  <c:v>84</c:v>
                </c:pt>
                <c:pt idx="56">
                  <c:v>85</c:v>
                </c:pt>
                <c:pt idx="57">
                  <c:v>85</c:v>
                </c:pt>
                <c:pt idx="58">
                  <c:v>85</c:v>
                </c:pt>
                <c:pt idx="59">
                  <c:v>85</c:v>
                </c:pt>
                <c:pt idx="60">
                  <c:v>85</c:v>
                </c:pt>
                <c:pt idx="61">
                  <c:v>85</c:v>
                </c:pt>
                <c:pt idx="62">
                  <c:v>85</c:v>
                </c:pt>
                <c:pt idx="63">
                  <c:v>85</c:v>
                </c:pt>
                <c:pt idx="64">
                  <c:v>85</c:v>
                </c:pt>
                <c:pt idx="65">
                  <c:v>86</c:v>
                </c:pt>
                <c:pt idx="66">
                  <c:v>86</c:v>
                </c:pt>
                <c:pt idx="67">
                  <c:v>87</c:v>
                </c:pt>
                <c:pt idx="68">
                  <c:v>88</c:v>
                </c:pt>
                <c:pt idx="69">
                  <c:v>88.8</c:v>
                </c:pt>
                <c:pt idx="70">
                  <c:v>90</c:v>
                </c:pt>
                <c:pt idx="71">
                  <c:v>90</c:v>
                </c:pt>
                <c:pt idx="72">
                  <c:v>90</c:v>
                </c:pt>
                <c:pt idx="73">
                  <c:v>90</c:v>
                </c:pt>
                <c:pt idx="74">
                  <c:v>90</c:v>
                </c:pt>
                <c:pt idx="75">
                  <c:v>90</c:v>
                </c:pt>
                <c:pt idx="76">
                  <c:v>90</c:v>
                </c:pt>
                <c:pt idx="77">
                  <c:v>91</c:v>
                </c:pt>
                <c:pt idx="78">
                  <c:v>91</c:v>
                </c:pt>
                <c:pt idx="79">
                  <c:v>91</c:v>
                </c:pt>
                <c:pt idx="80">
                  <c:v>92</c:v>
                </c:pt>
                <c:pt idx="81">
                  <c:v>92</c:v>
                </c:pt>
                <c:pt idx="82">
                  <c:v>93</c:v>
                </c:pt>
                <c:pt idx="83">
                  <c:v>93</c:v>
                </c:pt>
                <c:pt idx="84">
                  <c:v>93</c:v>
                </c:pt>
                <c:pt idx="85">
                  <c:v>95</c:v>
                </c:pt>
                <c:pt idx="86">
                  <c:v>95</c:v>
                </c:pt>
                <c:pt idx="87">
                  <c:v>96</c:v>
                </c:pt>
                <c:pt idx="88">
                  <c:v>99</c:v>
                </c:pt>
              </c:numCache>
            </c:numRef>
          </c:xVal>
          <c:yVal>
            <c:numRef>
              <c:f>Sheet1!$G$2:$G$147</c:f>
              <c:numCache>
                <c:formatCode>General</c:formatCode>
                <c:ptCount val="89"/>
                <c:pt idx="0">
                  <c:v>1.3</c:v>
                </c:pt>
                <c:pt idx="1">
                  <c:v>2.06</c:v>
                </c:pt>
                <c:pt idx="2">
                  <c:v>3.5</c:v>
                </c:pt>
                <c:pt idx="3">
                  <c:v>1.41</c:v>
                </c:pt>
                <c:pt idx="4">
                  <c:v>1.4</c:v>
                </c:pt>
                <c:pt idx="5">
                  <c:v>1.3</c:v>
                </c:pt>
                <c:pt idx="6">
                  <c:v>2.2999999999999998</c:v>
                </c:pt>
                <c:pt idx="7">
                  <c:v>3.27</c:v>
                </c:pt>
                <c:pt idx="8">
                  <c:v>1.8</c:v>
                </c:pt>
                <c:pt idx="9">
                  <c:v>2.4</c:v>
                </c:pt>
                <c:pt idx="10">
                  <c:v>2.78</c:v>
                </c:pt>
                <c:pt idx="11">
                  <c:v>1.6</c:v>
                </c:pt>
                <c:pt idx="12">
                  <c:v>2.64</c:v>
                </c:pt>
                <c:pt idx="13">
                  <c:v>2.65</c:v>
                </c:pt>
                <c:pt idx="14">
                  <c:v>3</c:v>
                </c:pt>
                <c:pt idx="15">
                  <c:v>1.96</c:v>
                </c:pt>
                <c:pt idx="16">
                  <c:v>4</c:v>
                </c:pt>
                <c:pt idx="17">
                  <c:v>1.6</c:v>
                </c:pt>
                <c:pt idx="18">
                  <c:v>2.5</c:v>
                </c:pt>
                <c:pt idx="19">
                  <c:v>2</c:v>
                </c:pt>
                <c:pt idx="20">
                  <c:v>2.7</c:v>
                </c:pt>
                <c:pt idx="21">
                  <c:v>2.5</c:v>
                </c:pt>
                <c:pt idx="22">
                  <c:v>1.7</c:v>
                </c:pt>
                <c:pt idx="23">
                  <c:v>1.86</c:v>
                </c:pt>
                <c:pt idx="24">
                  <c:v>3.2</c:v>
                </c:pt>
                <c:pt idx="25">
                  <c:v>2</c:v>
                </c:pt>
                <c:pt idx="26">
                  <c:v>1.39</c:v>
                </c:pt>
                <c:pt idx="27">
                  <c:v>1.7</c:v>
                </c:pt>
                <c:pt idx="28">
                  <c:v>3.91</c:v>
                </c:pt>
                <c:pt idx="29">
                  <c:v>2.5</c:v>
                </c:pt>
                <c:pt idx="30">
                  <c:v>2</c:v>
                </c:pt>
                <c:pt idx="31">
                  <c:v>2.96</c:v>
                </c:pt>
                <c:pt idx="32">
                  <c:v>2.5</c:v>
                </c:pt>
                <c:pt idx="33">
                  <c:v>3.43</c:v>
                </c:pt>
                <c:pt idx="34">
                  <c:v>2</c:v>
                </c:pt>
                <c:pt idx="35">
                  <c:v>2</c:v>
                </c:pt>
                <c:pt idx="36">
                  <c:v>2.5</c:v>
                </c:pt>
                <c:pt idx="37">
                  <c:v>0</c:v>
                </c:pt>
                <c:pt idx="38">
                  <c:v>3</c:v>
                </c:pt>
                <c:pt idx="39">
                  <c:v>3</c:v>
                </c:pt>
                <c:pt idx="40">
                  <c:v>3.8</c:v>
                </c:pt>
                <c:pt idx="41">
                  <c:v>2.4</c:v>
                </c:pt>
                <c:pt idx="42">
                  <c:v>2.5</c:v>
                </c:pt>
                <c:pt idx="43">
                  <c:v>2.52</c:v>
                </c:pt>
                <c:pt idx="44">
                  <c:v>2.8</c:v>
                </c:pt>
                <c:pt idx="45">
                  <c:v>3.8</c:v>
                </c:pt>
                <c:pt idx="46">
                  <c:v>2</c:v>
                </c:pt>
                <c:pt idx="47">
                  <c:v>2.8</c:v>
                </c:pt>
                <c:pt idx="48">
                  <c:v>2</c:v>
                </c:pt>
                <c:pt idx="49">
                  <c:v>1</c:v>
                </c:pt>
                <c:pt idx="50">
                  <c:v>3.67</c:v>
                </c:pt>
                <c:pt idx="51">
                  <c:v>2.7</c:v>
                </c:pt>
                <c:pt idx="52">
                  <c:v>2.1</c:v>
                </c:pt>
                <c:pt idx="53">
                  <c:v>4</c:v>
                </c:pt>
                <c:pt idx="54">
                  <c:v>4.2300000000000004</c:v>
                </c:pt>
                <c:pt idx="55">
                  <c:v>2.46</c:v>
                </c:pt>
                <c:pt idx="56">
                  <c:v>2.5499999999999998</c:v>
                </c:pt>
                <c:pt idx="57">
                  <c:v>1.4</c:v>
                </c:pt>
                <c:pt idx="58">
                  <c:v>1.7</c:v>
                </c:pt>
                <c:pt idx="59">
                  <c:v>3</c:v>
                </c:pt>
                <c:pt idx="60">
                  <c:v>3</c:v>
                </c:pt>
                <c:pt idx="61">
                  <c:v>2.75</c:v>
                </c:pt>
                <c:pt idx="62">
                  <c:v>3.51</c:v>
                </c:pt>
                <c:pt idx="63">
                  <c:v>2.2000000000000002</c:v>
                </c:pt>
                <c:pt idx="64">
                  <c:v>3.65</c:v>
                </c:pt>
                <c:pt idx="65">
                  <c:v>2.4</c:v>
                </c:pt>
                <c:pt idx="66">
                  <c:v>2.68</c:v>
                </c:pt>
                <c:pt idx="67">
                  <c:v>4.05</c:v>
                </c:pt>
                <c:pt idx="68">
                  <c:v>3.63</c:v>
                </c:pt>
                <c:pt idx="69">
                  <c:v>3.3</c:v>
                </c:pt>
                <c:pt idx="70">
                  <c:v>2</c:v>
                </c:pt>
                <c:pt idx="71">
                  <c:v>3.15</c:v>
                </c:pt>
                <c:pt idx="72">
                  <c:v>3</c:v>
                </c:pt>
                <c:pt idx="73">
                  <c:v>2.85</c:v>
                </c:pt>
                <c:pt idx="74">
                  <c:v>3.3</c:v>
                </c:pt>
                <c:pt idx="75">
                  <c:v>2.06</c:v>
                </c:pt>
                <c:pt idx="76">
                  <c:v>3.2</c:v>
                </c:pt>
                <c:pt idx="77">
                  <c:v>2.5</c:v>
                </c:pt>
                <c:pt idx="78">
                  <c:v>2.63</c:v>
                </c:pt>
                <c:pt idx="79">
                  <c:v>3.7</c:v>
                </c:pt>
                <c:pt idx="80">
                  <c:v>2.95</c:v>
                </c:pt>
                <c:pt idx="81">
                  <c:v>3.7</c:v>
                </c:pt>
                <c:pt idx="82">
                  <c:v>3</c:v>
                </c:pt>
                <c:pt idx="83">
                  <c:v>2.98</c:v>
                </c:pt>
                <c:pt idx="84">
                  <c:v>3.23</c:v>
                </c:pt>
                <c:pt idx="85">
                  <c:v>3.72</c:v>
                </c:pt>
                <c:pt idx="86">
                  <c:v>3.8</c:v>
                </c:pt>
                <c:pt idx="87">
                  <c:v>3.42</c:v>
                </c:pt>
                <c:pt idx="88">
                  <c:v>3.6</c:v>
                </c:pt>
              </c:numCache>
            </c:numRef>
          </c:yVal>
          <c:smooth val="0"/>
          <c:extLst>
            <c:ext xmlns:c16="http://schemas.microsoft.com/office/drawing/2014/chart" uri="{C3380CC4-5D6E-409C-BE32-E72D297353CC}">
              <c16:uniqueId val="{00000000-896D-4A64-85CD-8028B91D0BC7}"/>
            </c:ext>
          </c:extLst>
        </c:ser>
        <c:dLbls>
          <c:showLegendKey val="0"/>
          <c:showVal val="0"/>
          <c:showCatName val="0"/>
          <c:showSerName val="0"/>
          <c:showPercent val="0"/>
          <c:showBubbleSize val="0"/>
        </c:dLbls>
        <c:axId val="208922480"/>
        <c:axId val="91449792"/>
      </c:scatterChart>
      <c:valAx>
        <c:axId val="208922480"/>
        <c:scaling>
          <c:orientation val="minMax"/>
          <c:min val="6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High School Average</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49792"/>
        <c:crosses val="autoZero"/>
        <c:crossBetween val="midCat"/>
      </c:valAx>
      <c:valAx>
        <c:axId val="91449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b="1"/>
                  <a:t>GPA</a:t>
                </a:r>
              </a:p>
            </c:rich>
          </c:tx>
          <c:overlay val="0"/>
          <c:spPr>
            <a:noFill/>
            <a:ln>
              <a:noFill/>
            </a:ln>
            <a:effectLst/>
          </c:spPr>
          <c:txPr>
            <a:bodyPr rot="0" spcFirstLastPara="1" vertOverflow="ellipsis"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9224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[Enrolment 2018-19 v3.xlsx]Sheet2!PivotTable7</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Changing Demographics of Business Enrolments at Nova Scotia UniversitiesChart Title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28575" cap="rnd">
            <a:solidFill>
              <a:schemeClr val="accent1"/>
            </a:solidFill>
            <a:round/>
          </a:ln>
          <a:effectLst/>
        </c:spPr>
        <c:marker>
          <c:symbol val="none"/>
        </c:marker>
      </c:pivotFmt>
      <c:pivotFmt>
        <c:idx val="1"/>
        <c:spPr>
          <a:solidFill>
            <a:schemeClr val="accent1"/>
          </a:solidFill>
          <a:ln w="28575" cap="rnd">
            <a:solidFill>
              <a:schemeClr val="accent1"/>
            </a:solidFill>
            <a:round/>
          </a:ln>
          <a:effectLst/>
        </c:spPr>
        <c:marker>
          <c:symbol val="none"/>
        </c:marker>
      </c:pivotFmt>
      <c:pivotFmt>
        <c:idx val="2"/>
        <c:spPr>
          <a:solidFill>
            <a:schemeClr val="accent1"/>
          </a:solidFill>
          <a:ln w="28575" cap="rnd">
            <a:solidFill>
              <a:schemeClr val="accent1"/>
            </a:solidFill>
            <a:round/>
          </a:ln>
          <a:effectLst/>
        </c:spPr>
        <c:marker>
          <c:symbol val="none"/>
        </c:marker>
      </c:pivotFmt>
      <c:pivotFmt>
        <c:idx val="3"/>
        <c:spPr>
          <a:solidFill>
            <a:schemeClr val="accent1"/>
          </a:solidFill>
          <a:ln w="28575" cap="rnd">
            <a:solidFill>
              <a:schemeClr val="accent1"/>
            </a:solidFill>
            <a:round/>
          </a:ln>
          <a:effectLst/>
        </c:spPr>
        <c:marker>
          <c:symbol val="none"/>
        </c:marker>
      </c:pivotFmt>
      <c:pivotFmt>
        <c:idx val="4"/>
        <c:spPr>
          <a:solidFill>
            <a:schemeClr val="accent1"/>
          </a:solidFill>
          <a:ln w="28575" cap="rnd">
            <a:solidFill>
              <a:schemeClr val="accent1"/>
            </a:solidFill>
            <a:round/>
          </a:ln>
          <a:effectLst/>
        </c:spPr>
        <c:marker>
          <c:symbol val="none"/>
        </c:marker>
      </c:pivotFmt>
      <c:pivotFmt>
        <c:idx val="5"/>
        <c:spPr>
          <a:solidFill>
            <a:schemeClr val="accent1"/>
          </a:solidFill>
          <a:ln w="28575" cap="rnd">
            <a:solidFill>
              <a:schemeClr val="accent1"/>
            </a:solidFill>
            <a:round/>
          </a:ln>
          <a:effectLst/>
        </c:spPr>
        <c:marker>
          <c:symbol val="none"/>
        </c:marker>
      </c:pivotFmt>
      <c:pivotFmt>
        <c:idx val="6"/>
        <c:spPr>
          <a:solidFill>
            <a:schemeClr val="accent1"/>
          </a:solidFill>
          <a:ln w="28575" cap="rnd">
            <a:solidFill>
              <a:schemeClr val="accent1"/>
            </a:solidFill>
            <a:round/>
          </a:ln>
          <a:effectLst/>
        </c:spPr>
        <c:marker>
          <c:symbol val="none"/>
        </c:marker>
      </c:pivotFmt>
      <c:pivotFmt>
        <c:idx val="7"/>
        <c:spPr>
          <a:solidFill>
            <a:schemeClr val="accent1"/>
          </a:solidFill>
          <a:ln w="28575" cap="rnd">
            <a:solidFill>
              <a:schemeClr val="accent1"/>
            </a:solidFill>
            <a:round/>
          </a:ln>
          <a:effectLst/>
        </c:spPr>
        <c:marker>
          <c:symbol val="none"/>
        </c:marker>
      </c:pivotFmt>
      <c:pivotFmt>
        <c:idx val="8"/>
        <c:spPr>
          <a:solidFill>
            <a:schemeClr val="accent1"/>
          </a:solidFill>
          <a:ln w="28575" cap="rnd">
            <a:solidFill>
              <a:schemeClr val="accent1"/>
            </a:solidFill>
            <a:round/>
          </a:ln>
          <a:effectLst/>
        </c:spPr>
        <c:marker>
          <c:symbol val="none"/>
        </c:marker>
      </c:pivotFmt>
      <c:pivotFmt>
        <c:idx val="9"/>
        <c:spPr>
          <a:solidFill>
            <a:schemeClr val="accent1"/>
          </a:solidFill>
          <a:ln w="28575" cap="rnd">
            <a:solidFill>
              <a:schemeClr val="accent1"/>
            </a:solidFill>
            <a:round/>
          </a:ln>
          <a:effectLst/>
        </c:spPr>
        <c:marker>
          <c:symbol val="none"/>
        </c:marker>
      </c:pivotFmt>
      <c:pivotFmt>
        <c:idx val="10"/>
        <c:spPr>
          <a:solidFill>
            <a:schemeClr val="accent1"/>
          </a:solidFill>
          <a:ln w="28575" cap="rnd">
            <a:solidFill>
              <a:schemeClr val="accent1"/>
            </a:solidFill>
            <a:round/>
          </a:ln>
          <a:effectLst/>
        </c:spPr>
        <c:marker>
          <c:symbol val="none"/>
        </c:marker>
      </c:pivotFmt>
      <c:pivotFmt>
        <c:idx val="11"/>
        <c:spPr>
          <a:solidFill>
            <a:schemeClr val="accent1"/>
          </a:solidFill>
          <a:ln w="28575" cap="rnd">
            <a:solidFill>
              <a:schemeClr val="accent1"/>
            </a:solidFill>
            <a:round/>
          </a:ln>
          <a:effectLst/>
        </c:spPr>
        <c:marker>
          <c:symbol val="none"/>
        </c:marker>
      </c:pivotFmt>
      <c:pivotFmt>
        <c:idx val="12"/>
        <c:spPr>
          <a:solidFill>
            <a:schemeClr val="accent1"/>
          </a:solidFill>
          <a:ln w="28575" cap="rnd">
            <a:solidFill>
              <a:schemeClr val="accent1"/>
            </a:solidFill>
            <a:round/>
          </a:ln>
          <a:effectLst/>
        </c:spPr>
        <c:marker>
          <c:symbol val="none"/>
        </c:marker>
      </c:pivotFmt>
      <c:pivotFmt>
        <c:idx val="13"/>
        <c:spPr>
          <a:solidFill>
            <a:schemeClr val="accent1"/>
          </a:solidFill>
          <a:ln w="28575" cap="rnd">
            <a:solidFill>
              <a:schemeClr val="accent1"/>
            </a:solidFill>
            <a:round/>
          </a:ln>
          <a:effectLst/>
        </c:spPr>
        <c:marker>
          <c:symbol val="none"/>
        </c:marker>
      </c:pivotFmt>
      <c:pivotFmt>
        <c:idx val="14"/>
        <c:spPr>
          <a:solidFill>
            <a:schemeClr val="accent1"/>
          </a:solidFill>
          <a:ln w="28575" cap="rnd">
            <a:solidFill>
              <a:schemeClr val="accent1"/>
            </a:solidFill>
            <a:round/>
          </a:ln>
          <a:effectLst/>
        </c:spPr>
        <c:marker>
          <c:symbol val="none"/>
        </c:marker>
      </c:pivotFmt>
    </c:pivotFmts>
    <c:plotArea>
      <c:layout/>
      <c:lineChart>
        <c:grouping val="standard"/>
        <c:varyColors val="0"/>
        <c:ser>
          <c:idx val="0"/>
          <c:order val="0"/>
          <c:tx>
            <c:strRef>
              <c:f>Sheet2!$B$60:$B$62</c:f>
              <c:strCache>
                <c:ptCount val="1"/>
                <c:pt idx="0">
                  <c:v>Nova Scotia</c:v>
                </c:pt>
              </c:strCache>
            </c:strRef>
          </c:tx>
          <c:spPr>
            <a:ln w="28575" cap="rnd">
              <a:solidFill>
                <a:schemeClr val="accent1"/>
              </a:solidFill>
              <a:round/>
            </a:ln>
            <a:effectLst/>
          </c:spPr>
          <c:marker>
            <c:symbol val="none"/>
          </c:marke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Sheet2!$B$63:$B$79</c:f>
              <c:numCache>
                <c:formatCode>General</c:formatCode>
                <c:ptCount val="16"/>
                <c:pt idx="0">
                  <c:v>3134</c:v>
                </c:pt>
                <c:pt idx="1">
                  <c:v>3046</c:v>
                </c:pt>
                <c:pt idx="2">
                  <c:v>3162</c:v>
                </c:pt>
                <c:pt idx="3">
                  <c:v>3181</c:v>
                </c:pt>
                <c:pt idx="4">
                  <c:v>3164</c:v>
                </c:pt>
                <c:pt idx="5">
                  <c:v>3157</c:v>
                </c:pt>
                <c:pt idx="6">
                  <c:v>3061</c:v>
                </c:pt>
                <c:pt idx="7">
                  <c:v>3016</c:v>
                </c:pt>
                <c:pt idx="8">
                  <c:v>2869</c:v>
                </c:pt>
                <c:pt idx="9">
                  <c:v>2984</c:v>
                </c:pt>
                <c:pt idx="10">
                  <c:v>2968</c:v>
                </c:pt>
                <c:pt idx="11">
                  <c:v>2900</c:v>
                </c:pt>
                <c:pt idx="12">
                  <c:v>2823</c:v>
                </c:pt>
                <c:pt idx="13">
                  <c:v>2841</c:v>
                </c:pt>
                <c:pt idx="14">
                  <c:v>2734</c:v>
                </c:pt>
                <c:pt idx="15">
                  <c:v>2736</c:v>
                </c:pt>
              </c:numCache>
            </c:numRef>
          </c:val>
          <c:smooth val="0"/>
          <c:extLst>
            <c:ext xmlns:c16="http://schemas.microsoft.com/office/drawing/2014/chart" uri="{C3380CC4-5D6E-409C-BE32-E72D297353CC}">
              <c16:uniqueId val="{00000000-9F1A-4849-A528-DFDD86517260}"/>
            </c:ext>
          </c:extLst>
        </c:ser>
        <c:ser>
          <c:idx val="1"/>
          <c:order val="1"/>
          <c:tx>
            <c:strRef>
              <c:f>Sheet2!$C$60:$C$62</c:f>
              <c:strCache>
                <c:ptCount val="1"/>
                <c:pt idx="0">
                  <c:v>Bc Prairies</c:v>
                </c:pt>
              </c:strCache>
            </c:strRef>
          </c:tx>
          <c:spPr>
            <a:ln w="28575" cap="rnd">
              <a:solidFill>
                <a:schemeClr val="accent2"/>
              </a:solidFill>
              <a:round/>
            </a:ln>
            <a:effectLst/>
          </c:spPr>
          <c:marker>
            <c:symbol val="none"/>
          </c:marke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Sheet2!$C$63:$C$79</c:f>
              <c:numCache>
                <c:formatCode>General</c:formatCode>
                <c:ptCount val="16"/>
                <c:pt idx="0">
                  <c:v>143</c:v>
                </c:pt>
                <c:pt idx="1">
                  <c:v>164</c:v>
                </c:pt>
                <c:pt idx="2">
                  <c:v>149</c:v>
                </c:pt>
                <c:pt idx="3">
                  <c:v>193</c:v>
                </c:pt>
                <c:pt idx="4">
                  <c:v>223</c:v>
                </c:pt>
                <c:pt idx="5">
                  <c:v>257</c:v>
                </c:pt>
                <c:pt idx="6">
                  <c:v>274</c:v>
                </c:pt>
                <c:pt idx="7">
                  <c:v>282</c:v>
                </c:pt>
                <c:pt idx="8">
                  <c:v>294</c:v>
                </c:pt>
                <c:pt idx="9">
                  <c:v>285</c:v>
                </c:pt>
                <c:pt idx="10">
                  <c:v>309</c:v>
                </c:pt>
                <c:pt idx="11">
                  <c:v>367</c:v>
                </c:pt>
                <c:pt idx="12">
                  <c:v>371</c:v>
                </c:pt>
                <c:pt idx="13">
                  <c:v>374</c:v>
                </c:pt>
                <c:pt idx="14">
                  <c:v>381</c:v>
                </c:pt>
                <c:pt idx="15">
                  <c:v>347</c:v>
                </c:pt>
              </c:numCache>
            </c:numRef>
          </c:val>
          <c:smooth val="0"/>
          <c:extLst>
            <c:ext xmlns:c16="http://schemas.microsoft.com/office/drawing/2014/chart" uri="{C3380CC4-5D6E-409C-BE32-E72D297353CC}">
              <c16:uniqueId val="{00000001-9F1A-4849-A528-DFDD86517260}"/>
            </c:ext>
          </c:extLst>
        </c:ser>
        <c:ser>
          <c:idx val="2"/>
          <c:order val="2"/>
          <c:tx>
            <c:strRef>
              <c:f>Sheet2!$D$60:$D$62</c:f>
              <c:strCache>
                <c:ptCount val="1"/>
                <c:pt idx="0">
                  <c:v>OntarioQuebec</c:v>
                </c:pt>
              </c:strCache>
            </c:strRef>
          </c:tx>
          <c:spPr>
            <a:ln w="28575" cap="rnd">
              <a:solidFill>
                <a:schemeClr val="accent3"/>
              </a:solidFill>
              <a:round/>
            </a:ln>
            <a:effectLst/>
          </c:spPr>
          <c:marker>
            <c:symbol val="none"/>
          </c:marke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Sheet2!$D$63:$D$79</c:f>
              <c:numCache>
                <c:formatCode>General</c:formatCode>
                <c:ptCount val="16"/>
                <c:pt idx="0">
                  <c:v>611</c:v>
                </c:pt>
                <c:pt idx="1">
                  <c:v>688</c:v>
                </c:pt>
                <c:pt idx="2">
                  <c:v>675</c:v>
                </c:pt>
                <c:pt idx="3">
                  <c:v>830</c:v>
                </c:pt>
                <c:pt idx="4">
                  <c:v>797</c:v>
                </c:pt>
                <c:pt idx="5">
                  <c:v>858</c:v>
                </c:pt>
                <c:pt idx="6">
                  <c:v>853</c:v>
                </c:pt>
                <c:pt idx="7">
                  <c:v>850</c:v>
                </c:pt>
                <c:pt idx="8">
                  <c:v>900</c:v>
                </c:pt>
                <c:pt idx="9">
                  <c:v>963</c:v>
                </c:pt>
                <c:pt idx="10">
                  <c:v>1102</c:v>
                </c:pt>
                <c:pt idx="11">
                  <c:v>1156</c:v>
                </c:pt>
                <c:pt idx="12">
                  <c:v>1166</c:v>
                </c:pt>
                <c:pt idx="13">
                  <c:v>1147</c:v>
                </c:pt>
                <c:pt idx="14">
                  <c:v>1110</c:v>
                </c:pt>
                <c:pt idx="15">
                  <c:v>1056</c:v>
                </c:pt>
              </c:numCache>
            </c:numRef>
          </c:val>
          <c:smooth val="0"/>
          <c:extLst>
            <c:ext xmlns:c16="http://schemas.microsoft.com/office/drawing/2014/chart" uri="{C3380CC4-5D6E-409C-BE32-E72D297353CC}">
              <c16:uniqueId val="{00000002-9F1A-4849-A528-DFDD86517260}"/>
            </c:ext>
          </c:extLst>
        </c:ser>
        <c:ser>
          <c:idx val="3"/>
          <c:order val="3"/>
          <c:tx>
            <c:strRef>
              <c:f>Sheet2!$E$60:$E$62</c:f>
              <c:strCache>
                <c:ptCount val="1"/>
                <c:pt idx="0">
                  <c:v>Atlantic</c:v>
                </c:pt>
              </c:strCache>
            </c:strRef>
          </c:tx>
          <c:spPr>
            <a:ln w="28575" cap="rnd">
              <a:solidFill>
                <a:schemeClr val="accent4"/>
              </a:solidFill>
              <a:round/>
            </a:ln>
            <a:effectLst/>
          </c:spPr>
          <c:marker>
            <c:symbol val="none"/>
          </c:marke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Sheet2!$E$63:$E$79</c:f>
              <c:numCache>
                <c:formatCode>General</c:formatCode>
                <c:ptCount val="16"/>
                <c:pt idx="0">
                  <c:v>504</c:v>
                </c:pt>
                <c:pt idx="1">
                  <c:v>481</c:v>
                </c:pt>
                <c:pt idx="2">
                  <c:v>473</c:v>
                </c:pt>
                <c:pt idx="3">
                  <c:v>474</c:v>
                </c:pt>
                <c:pt idx="4">
                  <c:v>409</c:v>
                </c:pt>
                <c:pt idx="5">
                  <c:v>429</c:v>
                </c:pt>
                <c:pt idx="6">
                  <c:v>387</c:v>
                </c:pt>
                <c:pt idx="7">
                  <c:v>395</c:v>
                </c:pt>
                <c:pt idx="8">
                  <c:v>406</c:v>
                </c:pt>
                <c:pt idx="9">
                  <c:v>400</c:v>
                </c:pt>
                <c:pt idx="10">
                  <c:v>411</c:v>
                </c:pt>
                <c:pt idx="11">
                  <c:v>420</c:v>
                </c:pt>
                <c:pt idx="12">
                  <c:v>403</c:v>
                </c:pt>
                <c:pt idx="13">
                  <c:v>430</c:v>
                </c:pt>
                <c:pt idx="14">
                  <c:v>446</c:v>
                </c:pt>
                <c:pt idx="15">
                  <c:v>427</c:v>
                </c:pt>
              </c:numCache>
            </c:numRef>
          </c:val>
          <c:smooth val="0"/>
          <c:extLst>
            <c:ext xmlns:c16="http://schemas.microsoft.com/office/drawing/2014/chart" uri="{C3380CC4-5D6E-409C-BE32-E72D297353CC}">
              <c16:uniqueId val="{00000003-9F1A-4849-A528-DFDD86517260}"/>
            </c:ext>
          </c:extLst>
        </c:ser>
        <c:ser>
          <c:idx val="4"/>
          <c:order val="4"/>
          <c:tx>
            <c:strRef>
              <c:f>Sheet2!$F$60:$F$62</c:f>
              <c:strCache>
                <c:ptCount val="1"/>
                <c:pt idx="0">
                  <c:v>International</c:v>
                </c:pt>
              </c:strCache>
            </c:strRef>
          </c:tx>
          <c:spPr>
            <a:ln w="28575" cap="rnd">
              <a:solidFill>
                <a:schemeClr val="accent5"/>
              </a:solidFill>
              <a:round/>
            </a:ln>
            <a:effectLst/>
          </c:spPr>
          <c:marker>
            <c:symbol val="none"/>
          </c:marke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Sheet2!$F$63:$F$79</c:f>
              <c:numCache>
                <c:formatCode>General</c:formatCode>
                <c:ptCount val="16"/>
                <c:pt idx="0">
                  <c:v>961</c:v>
                </c:pt>
                <c:pt idx="1">
                  <c:v>1143</c:v>
                </c:pt>
                <c:pt idx="2">
                  <c:v>1447</c:v>
                </c:pt>
                <c:pt idx="3">
                  <c:v>1286</c:v>
                </c:pt>
                <c:pt idx="4">
                  <c:v>1263</c:v>
                </c:pt>
                <c:pt idx="5">
                  <c:v>1387</c:v>
                </c:pt>
                <c:pt idx="6">
                  <c:v>1720</c:v>
                </c:pt>
                <c:pt idx="7">
                  <c:v>2078</c:v>
                </c:pt>
                <c:pt idx="8">
                  <c:v>2469</c:v>
                </c:pt>
                <c:pt idx="9">
                  <c:v>2751</c:v>
                </c:pt>
                <c:pt idx="10">
                  <c:v>2887</c:v>
                </c:pt>
                <c:pt idx="11">
                  <c:v>2914</c:v>
                </c:pt>
                <c:pt idx="12">
                  <c:v>2843</c:v>
                </c:pt>
                <c:pt idx="13">
                  <c:v>2630</c:v>
                </c:pt>
                <c:pt idx="14">
                  <c:v>2459</c:v>
                </c:pt>
                <c:pt idx="15">
                  <c:v>2355</c:v>
                </c:pt>
              </c:numCache>
            </c:numRef>
          </c:val>
          <c:smooth val="0"/>
          <c:extLst>
            <c:ext xmlns:c16="http://schemas.microsoft.com/office/drawing/2014/chart" uri="{C3380CC4-5D6E-409C-BE32-E72D297353CC}">
              <c16:uniqueId val="{00000004-9F1A-4849-A528-DFDD86517260}"/>
            </c:ext>
          </c:extLst>
        </c:ser>
        <c:dLbls>
          <c:showLegendKey val="0"/>
          <c:showVal val="0"/>
          <c:showCatName val="0"/>
          <c:showSerName val="0"/>
          <c:showPercent val="0"/>
          <c:showBubbleSize val="0"/>
        </c:dLbls>
        <c:smooth val="0"/>
        <c:axId val="1850473391"/>
        <c:axId val="1758576927"/>
      </c:lineChart>
      <c:catAx>
        <c:axId val="18504733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year</a:t>
                </a:r>
              </a:p>
              <a:p>
                <a:pPr>
                  <a:defRPr/>
                </a:pPr>
                <a:endParaRPr lang="en-CA"/>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8576927"/>
        <c:crosses val="autoZero"/>
        <c:auto val="1"/>
        <c:lblAlgn val="ctr"/>
        <c:lblOffset val="100"/>
        <c:noMultiLvlLbl val="0"/>
      </c:catAx>
      <c:valAx>
        <c:axId val="17585769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enrolment</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047339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[Enrolment 2018-19 v3.xlsx]Sheet2!PivotTable7</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Business Enrolments</a:t>
            </a:r>
            <a:r>
              <a:rPr lang="en-CA" baseline="0"/>
              <a:t> Decline after a Decade of Steady Growth</a:t>
            </a:r>
            <a:endParaRPr lang="en-C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28575" cap="rnd">
            <a:solidFill>
              <a:schemeClr val="accent1"/>
            </a:solidFill>
            <a:round/>
          </a:ln>
          <a:effectLst/>
        </c:spPr>
        <c:marker>
          <c:symbol val="none"/>
        </c:marker>
      </c:pivotFmt>
      <c:pivotFmt>
        <c:idx val="1"/>
        <c:spPr>
          <a:solidFill>
            <a:schemeClr val="accent1"/>
          </a:solidFill>
          <a:ln w="28575" cap="rnd">
            <a:solidFill>
              <a:schemeClr val="accent1"/>
            </a:solidFill>
            <a:round/>
          </a:ln>
          <a:effectLst/>
        </c:spPr>
        <c:marker>
          <c:symbol val="none"/>
        </c:marker>
      </c:pivotFmt>
      <c:pivotFmt>
        <c:idx val="2"/>
        <c:spPr>
          <a:solidFill>
            <a:schemeClr val="accent1"/>
          </a:solidFill>
          <a:ln w="28575" cap="rnd">
            <a:solidFill>
              <a:schemeClr val="accent1"/>
            </a:solidFill>
            <a:round/>
          </a:ln>
          <a:effectLst/>
        </c:spPr>
        <c:marker>
          <c:symbol val="none"/>
        </c:marker>
      </c:pivotFmt>
      <c:pivotFmt>
        <c:idx val="3"/>
        <c:spPr>
          <a:solidFill>
            <a:schemeClr val="accent1"/>
          </a:solidFill>
          <a:ln w="28575" cap="rnd">
            <a:solidFill>
              <a:schemeClr val="accent1"/>
            </a:solidFill>
            <a:round/>
          </a:ln>
          <a:effectLst/>
        </c:spPr>
        <c:marker>
          <c:symbol val="none"/>
        </c:marker>
      </c:pivotFmt>
      <c:pivotFmt>
        <c:idx val="4"/>
        <c:spPr>
          <a:solidFill>
            <a:schemeClr val="accent1"/>
          </a:solidFill>
          <a:ln w="28575" cap="rnd">
            <a:solidFill>
              <a:schemeClr val="accent1"/>
            </a:solidFill>
            <a:round/>
          </a:ln>
          <a:effectLst/>
        </c:spPr>
        <c:marker>
          <c:symbol val="none"/>
        </c:marker>
      </c:pivotFmt>
      <c:pivotFmt>
        <c:idx val="5"/>
        <c:spPr>
          <a:solidFill>
            <a:schemeClr val="accent1"/>
          </a:solidFill>
          <a:ln w="28575" cap="rnd">
            <a:solidFill>
              <a:schemeClr val="accent1"/>
            </a:solidFill>
            <a:round/>
          </a:ln>
          <a:effectLst/>
        </c:spPr>
        <c:marker>
          <c:symbol val="none"/>
        </c:marker>
      </c:pivotFmt>
      <c:pivotFmt>
        <c:idx val="6"/>
        <c:spPr>
          <a:solidFill>
            <a:schemeClr val="accent1"/>
          </a:solidFill>
          <a:ln w="28575" cap="rnd">
            <a:solidFill>
              <a:schemeClr val="accent1"/>
            </a:solidFill>
            <a:round/>
          </a:ln>
          <a:effectLst/>
        </c:spPr>
        <c:marker>
          <c:symbol val="none"/>
        </c:marker>
      </c:pivotFmt>
      <c:pivotFmt>
        <c:idx val="7"/>
        <c:spPr>
          <a:solidFill>
            <a:schemeClr val="accent1"/>
          </a:solidFill>
          <a:ln w="28575" cap="rnd">
            <a:solidFill>
              <a:schemeClr val="accent1"/>
            </a:solidFill>
            <a:round/>
          </a:ln>
          <a:effectLst/>
        </c:spPr>
        <c:marker>
          <c:symbol val="none"/>
        </c:marker>
      </c:pivotFmt>
      <c:pivotFmt>
        <c:idx val="8"/>
        <c:spPr>
          <a:solidFill>
            <a:schemeClr val="accent1"/>
          </a:solidFill>
          <a:ln w="28575" cap="rnd">
            <a:solidFill>
              <a:schemeClr val="accent1"/>
            </a:solidFill>
            <a:round/>
          </a:ln>
          <a:effectLst/>
        </c:spPr>
        <c:marker>
          <c:symbol val="none"/>
        </c:marker>
      </c:pivotFmt>
      <c:pivotFmt>
        <c:idx val="9"/>
        <c:spPr>
          <a:solidFill>
            <a:schemeClr val="accent1"/>
          </a:solidFill>
          <a:ln w="28575" cap="rnd">
            <a:solidFill>
              <a:schemeClr val="accent1"/>
            </a:solidFill>
            <a:round/>
          </a:ln>
          <a:effectLst/>
        </c:spPr>
        <c:marker>
          <c:symbol val="none"/>
        </c:marker>
      </c:pivotFmt>
      <c:pivotFmt>
        <c:idx val="10"/>
        <c:spPr>
          <a:solidFill>
            <a:schemeClr val="accent1"/>
          </a:solidFill>
          <a:ln w="28575" cap="rnd">
            <a:solidFill>
              <a:schemeClr val="accent1"/>
            </a:solidFill>
            <a:round/>
          </a:ln>
          <a:effectLst/>
        </c:spPr>
        <c:marker>
          <c:symbol val="none"/>
        </c:marker>
      </c:pivotFmt>
      <c:pivotFmt>
        <c:idx val="11"/>
        <c:spPr>
          <a:solidFill>
            <a:schemeClr val="accent1"/>
          </a:solidFill>
          <a:ln w="28575" cap="rnd">
            <a:solidFill>
              <a:schemeClr val="accent1"/>
            </a:solidFill>
            <a:round/>
          </a:ln>
          <a:effectLst/>
        </c:spPr>
        <c:marker>
          <c:symbol val="none"/>
        </c:marker>
      </c:pivotFmt>
      <c:pivotFmt>
        <c:idx val="12"/>
        <c:spPr>
          <a:solidFill>
            <a:schemeClr val="accent1"/>
          </a:solidFill>
          <a:ln w="28575" cap="rnd">
            <a:solidFill>
              <a:schemeClr val="accent1"/>
            </a:solidFill>
            <a:round/>
          </a:ln>
          <a:effectLst/>
        </c:spPr>
        <c:marker>
          <c:symbol val="none"/>
        </c:marker>
      </c:pivotFmt>
      <c:pivotFmt>
        <c:idx val="13"/>
        <c:spPr>
          <a:solidFill>
            <a:schemeClr val="accent1"/>
          </a:solidFill>
          <a:ln w="28575" cap="rnd">
            <a:solidFill>
              <a:schemeClr val="accent1"/>
            </a:solidFill>
            <a:round/>
          </a:ln>
          <a:effectLst/>
        </c:spPr>
        <c:marker>
          <c:symbol val="none"/>
        </c:marker>
      </c:pivotFmt>
      <c:pivotFmt>
        <c:idx val="14"/>
        <c:spPr>
          <a:solidFill>
            <a:schemeClr val="accent1"/>
          </a:solidFill>
          <a:ln w="28575" cap="rnd">
            <a:solidFill>
              <a:schemeClr val="accent1"/>
            </a:solidFill>
            <a:round/>
          </a:ln>
          <a:effectLst/>
        </c:spPr>
        <c:marker>
          <c:symbol val="none"/>
        </c:marker>
      </c:pivotFmt>
    </c:pivotFmts>
    <c:plotArea>
      <c:layout/>
      <c:areaChart>
        <c:grouping val="stacked"/>
        <c:varyColors val="0"/>
        <c:ser>
          <c:idx val="0"/>
          <c:order val="0"/>
          <c:tx>
            <c:strRef>
              <c:f>Sheet2!$B$60:$B$62</c:f>
              <c:strCache>
                <c:ptCount val="1"/>
                <c:pt idx="0">
                  <c:v>Nova Scotia</c:v>
                </c:pt>
              </c:strCache>
            </c:strRef>
          </c:tx>
          <c:spPr>
            <a:solidFill>
              <a:schemeClr val="accent1"/>
            </a:solidFill>
            <a:ln>
              <a:noFill/>
            </a:ln>
            <a:effectLst/>
          </c:spP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Sheet2!$B$63:$B$79</c:f>
              <c:numCache>
                <c:formatCode>General</c:formatCode>
                <c:ptCount val="16"/>
                <c:pt idx="0">
                  <c:v>3134</c:v>
                </c:pt>
                <c:pt idx="1">
                  <c:v>3046</c:v>
                </c:pt>
                <c:pt idx="2">
                  <c:v>3162</c:v>
                </c:pt>
                <c:pt idx="3">
                  <c:v>3181</c:v>
                </c:pt>
                <c:pt idx="4">
                  <c:v>3164</c:v>
                </c:pt>
                <c:pt idx="5">
                  <c:v>3157</c:v>
                </c:pt>
                <c:pt idx="6">
                  <c:v>3061</c:v>
                </c:pt>
                <c:pt idx="7">
                  <c:v>3016</c:v>
                </c:pt>
                <c:pt idx="8">
                  <c:v>2869</c:v>
                </c:pt>
                <c:pt idx="9">
                  <c:v>2984</c:v>
                </c:pt>
                <c:pt idx="10">
                  <c:v>2968</c:v>
                </c:pt>
                <c:pt idx="11">
                  <c:v>2900</c:v>
                </c:pt>
                <c:pt idx="12">
                  <c:v>2823</c:v>
                </c:pt>
                <c:pt idx="13">
                  <c:v>2841</c:v>
                </c:pt>
                <c:pt idx="14">
                  <c:v>2734</c:v>
                </c:pt>
                <c:pt idx="15">
                  <c:v>2736</c:v>
                </c:pt>
              </c:numCache>
            </c:numRef>
          </c:val>
          <c:extLst>
            <c:ext xmlns:c16="http://schemas.microsoft.com/office/drawing/2014/chart" uri="{C3380CC4-5D6E-409C-BE32-E72D297353CC}">
              <c16:uniqueId val="{00000000-EC2A-4A4A-B432-B2F5D85DAF06}"/>
            </c:ext>
          </c:extLst>
        </c:ser>
        <c:ser>
          <c:idx val="1"/>
          <c:order val="1"/>
          <c:tx>
            <c:strRef>
              <c:f>Sheet2!$C$60:$C$62</c:f>
              <c:strCache>
                <c:ptCount val="1"/>
                <c:pt idx="0">
                  <c:v>Bc Prairies</c:v>
                </c:pt>
              </c:strCache>
            </c:strRef>
          </c:tx>
          <c:spPr>
            <a:solidFill>
              <a:schemeClr val="accent2"/>
            </a:solidFill>
            <a:ln>
              <a:noFill/>
            </a:ln>
            <a:effectLst/>
          </c:spP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Sheet2!$C$63:$C$79</c:f>
              <c:numCache>
                <c:formatCode>General</c:formatCode>
                <c:ptCount val="16"/>
                <c:pt idx="0">
                  <c:v>143</c:v>
                </c:pt>
                <c:pt idx="1">
                  <c:v>164</c:v>
                </c:pt>
                <c:pt idx="2">
                  <c:v>149</c:v>
                </c:pt>
                <c:pt idx="3">
                  <c:v>193</c:v>
                </c:pt>
                <c:pt idx="4">
                  <c:v>223</c:v>
                </c:pt>
                <c:pt idx="5">
                  <c:v>257</c:v>
                </c:pt>
                <c:pt idx="6">
                  <c:v>274</c:v>
                </c:pt>
                <c:pt idx="7">
                  <c:v>282</c:v>
                </c:pt>
                <c:pt idx="8">
                  <c:v>294</c:v>
                </c:pt>
                <c:pt idx="9">
                  <c:v>285</c:v>
                </c:pt>
                <c:pt idx="10">
                  <c:v>309</c:v>
                </c:pt>
                <c:pt idx="11">
                  <c:v>367</c:v>
                </c:pt>
                <c:pt idx="12">
                  <c:v>371</c:v>
                </c:pt>
                <c:pt idx="13">
                  <c:v>374</c:v>
                </c:pt>
                <c:pt idx="14">
                  <c:v>381</c:v>
                </c:pt>
                <c:pt idx="15">
                  <c:v>347</c:v>
                </c:pt>
              </c:numCache>
            </c:numRef>
          </c:val>
          <c:extLst>
            <c:ext xmlns:c16="http://schemas.microsoft.com/office/drawing/2014/chart" uri="{C3380CC4-5D6E-409C-BE32-E72D297353CC}">
              <c16:uniqueId val="{00000001-EC2A-4A4A-B432-B2F5D85DAF06}"/>
            </c:ext>
          </c:extLst>
        </c:ser>
        <c:ser>
          <c:idx val="2"/>
          <c:order val="2"/>
          <c:tx>
            <c:strRef>
              <c:f>Sheet2!$D$60:$D$62</c:f>
              <c:strCache>
                <c:ptCount val="1"/>
                <c:pt idx="0">
                  <c:v>OntarioQuebec</c:v>
                </c:pt>
              </c:strCache>
            </c:strRef>
          </c:tx>
          <c:spPr>
            <a:solidFill>
              <a:schemeClr val="accent3"/>
            </a:solidFill>
            <a:ln>
              <a:noFill/>
            </a:ln>
            <a:effectLst/>
          </c:spP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Sheet2!$D$63:$D$79</c:f>
              <c:numCache>
                <c:formatCode>General</c:formatCode>
                <c:ptCount val="16"/>
                <c:pt idx="0">
                  <c:v>611</c:v>
                </c:pt>
                <c:pt idx="1">
                  <c:v>688</c:v>
                </c:pt>
                <c:pt idx="2">
                  <c:v>675</c:v>
                </c:pt>
                <c:pt idx="3">
                  <c:v>830</c:v>
                </c:pt>
                <c:pt idx="4">
                  <c:v>797</c:v>
                </c:pt>
                <c:pt idx="5">
                  <c:v>858</c:v>
                </c:pt>
                <c:pt idx="6">
                  <c:v>853</c:v>
                </c:pt>
                <c:pt idx="7">
                  <c:v>850</c:v>
                </c:pt>
                <c:pt idx="8">
                  <c:v>900</c:v>
                </c:pt>
                <c:pt idx="9">
                  <c:v>963</c:v>
                </c:pt>
                <c:pt idx="10">
                  <c:v>1102</c:v>
                </c:pt>
                <c:pt idx="11">
                  <c:v>1156</c:v>
                </c:pt>
                <c:pt idx="12">
                  <c:v>1166</c:v>
                </c:pt>
                <c:pt idx="13">
                  <c:v>1147</c:v>
                </c:pt>
                <c:pt idx="14">
                  <c:v>1110</c:v>
                </c:pt>
                <c:pt idx="15">
                  <c:v>1056</c:v>
                </c:pt>
              </c:numCache>
            </c:numRef>
          </c:val>
          <c:extLst>
            <c:ext xmlns:c16="http://schemas.microsoft.com/office/drawing/2014/chart" uri="{C3380CC4-5D6E-409C-BE32-E72D297353CC}">
              <c16:uniqueId val="{00000002-EC2A-4A4A-B432-B2F5D85DAF06}"/>
            </c:ext>
          </c:extLst>
        </c:ser>
        <c:ser>
          <c:idx val="3"/>
          <c:order val="3"/>
          <c:tx>
            <c:strRef>
              <c:f>Sheet2!$E$60:$E$62</c:f>
              <c:strCache>
                <c:ptCount val="1"/>
                <c:pt idx="0">
                  <c:v>Atlantic</c:v>
                </c:pt>
              </c:strCache>
            </c:strRef>
          </c:tx>
          <c:spPr>
            <a:solidFill>
              <a:schemeClr val="accent4"/>
            </a:solidFill>
            <a:ln>
              <a:noFill/>
            </a:ln>
            <a:effectLst/>
          </c:spP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Sheet2!$E$63:$E$79</c:f>
              <c:numCache>
                <c:formatCode>General</c:formatCode>
                <c:ptCount val="16"/>
                <c:pt idx="0">
                  <c:v>504</c:v>
                </c:pt>
                <c:pt idx="1">
                  <c:v>481</c:v>
                </c:pt>
                <c:pt idx="2">
                  <c:v>473</c:v>
                </c:pt>
                <c:pt idx="3">
                  <c:v>474</c:v>
                </c:pt>
                <c:pt idx="4">
                  <c:v>409</c:v>
                </c:pt>
                <c:pt idx="5">
                  <c:v>429</c:v>
                </c:pt>
                <c:pt idx="6">
                  <c:v>387</c:v>
                </c:pt>
                <c:pt idx="7">
                  <c:v>395</c:v>
                </c:pt>
                <c:pt idx="8">
                  <c:v>406</c:v>
                </c:pt>
                <c:pt idx="9">
                  <c:v>400</c:v>
                </c:pt>
                <c:pt idx="10">
                  <c:v>411</c:v>
                </c:pt>
                <c:pt idx="11">
                  <c:v>420</c:v>
                </c:pt>
                <c:pt idx="12">
                  <c:v>403</c:v>
                </c:pt>
                <c:pt idx="13">
                  <c:v>430</c:v>
                </c:pt>
                <c:pt idx="14">
                  <c:v>446</c:v>
                </c:pt>
                <c:pt idx="15">
                  <c:v>427</c:v>
                </c:pt>
              </c:numCache>
            </c:numRef>
          </c:val>
          <c:extLst>
            <c:ext xmlns:c16="http://schemas.microsoft.com/office/drawing/2014/chart" uri="{C3380CC4-5D6E-409C-BE32-E72D297353CC}">
              <c16:uniqueId val="{00000003-EC2A-4A4A-B432-B2F5D85DAF06}"/>
            </c:ext>
          </c:extLst>
        </c:ser>
        <c:ser>
          <c:idx val="4"/>
          <c:order val="4"/>
          <c:tx>
            <c:strRef>
              <c:f>Sheet2!$F$60:$F$62</c:f>
              <c:strCache>
                <c:ptCount val="1"/>
                <c:pt idx="0">
                  <c:v>International</c:v>
                </c:pt>
              </c:strCache>
            </c:strRef>
          </c:tx>
          <c:spPr>
            <a:solidFill>
              <a:schemeClr val="accent5"/>
            </a:solidFill>
            <a:ln>
              <a:noFill/>
            </a:ln>
            <a:effectLst/>
          </c:spPr>
          <c:cat>
            <c:strRef>
              <c:f>Sheet2!$A$63:$A$79</c:f>
              <c:strCache>
                <c:ptCount val="16"/>
                <c:pt idx="0">
                  <c:v>2003-2004</c:v>
                </c:pt>
                <c:pt idx="1">
                  <c:v>2004-2005</c:v>
                </c:pt>
                <c:pt idx="2">
                  <c:v>2005-2006</c:v>
                </c:pt>
                <c:pt idx="3">
                  <c:v>2006-2007</c:v>
                </c:pt>
                <c:pt idx="4">
                  <c:v>2007-2008</c:v>
                </c:pt>
                <c:pt idx="5">
                  <c:v>2008-2009</c:v>
                </c:pt>
                <c:pt idx="6">
                  <c:v>2009-2010</c:v>
                </c:pt>
                <c:pt idx="7">
                  <c:v>2010-2011</c:v>
                </c:pt>
                <c:pt idx="8">
                  <c:v>2011-2012</c:v>
                </c:pt>
                <c:pt idx="9">
                  <c:v>2012-2013</c:v>
                </c:pt>
                <c:pt idx="10">
                  <c:v>2013-2014</c:v>
                </c:pt>
                <c:pt idx="11">
                  <c:v>2014-2015</c:v>
                </c:pt>
                <c:pt idx="12">
                  <c:v>2015-2016</c:v>
                </c:pt>
                <c:pt idx="13">
                  <c:v>2016-2017</c:v>
                </c:pt>
                <c:pt idx="14">
                  <c:v>2017-2018</c:v>
                </c:pt>
                <c:pt idx="15">
                  <c:v>2018-2019</c:v>
                </c:pt>
              </c:strCache>
            </c:strRef>
          </c:cat>
          <c:val>
            <c:numRef>
              <c:f>Sheet2!$F$63:$F$79</c:f>
              <c:numCache>
                <c:formatCode>General</c:formatCode>
                <c:ptCount val="16"/>
                <c:pt idx="0">
                  <c:v>961</c:v>
                </c:pt>
                <c:pt idx="1">
                  <c:v>1143</c:v>
                </c:pt>
                <c:pt idx="2">
                  <c:v>1447</c:v>
                </c:pt>
                <c:pt idx="3">
                  <c:v>1286</c:v>
                </c:pt>
                <c:pt idx="4">
                  <c:v>1263</c:v>
                </c:pt>
                <c:pt idx="5">
                  <c:v>1387</c:v>
                </c:pt>
                <c:pt idx="6">
                  <c:v>1720</c:v>
                </c:pt>
                <c:pt idx="7">
                  <c:v>2078</c:v>
                </c:pt>
                <c:pt idx="8">
                  <c:v>2469</c:v>
                </c:pt>
                <c:pt idx="9">
                  <c:v>2751</c:v>
                </c:pt>
                <c:pt idx="10">
                  <c:v>2887</c:v>
                </c:pt>
                <c:pt idx="11">
                  <c:v>2914</c:v>
                </c:pt>
                <c:pt idx="12">
                  <c:v>2843</c:v>
                </c:pt>
                <c:pt idx="13">
                  <c:v>2630</c:v>
                </c:pt>
                <c:pt idx="14">
                  <c:v>2459</c:v>
                </c:pt>
                <c:pt idx="15">
                  <c:v>2355</c:v>
                </c:pt>
              </c:numCache>
            </c:numRef>
          </c:val>
          <c:extLst>
            <c:ext xmlns:c16="http://schemas.microsoft.com/office/drawing/2014/chart" uri="{C3380CC4-5D6E-409C-BE32-E72D297353CC}">
              <c16:uniqueId val="{00000004-EC2A-4A4A-B432-B2F5D85DAF06}"/>
            </c:ext>
          </c:extLst>
        </c:ser>
        <c:dLbls>
          <c:showLegendKey val="0"/>
          <c:showVal val="0"/>
          <c:showCatName val="0"/>
          <c:showSerName val="0"/>
          <c:showPercent val="0"/>
          <c:showBubbleSize val="0"/>
        </c:dLbls>
        <c:axId val="1850473391"/>
        <c:axId val="1758576927"/>
      </c:areaChart>
      <c:catAx>
        <c:axId val="18504733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year</a:t>
                </a:r>
              </a:p>
              <a:p>
                <a:pPr>
                  <a:defRPr/>
                </a:pPr>
                <a:endParaRPr lang="en-CA"/>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8576927"/>
        <c:crosses val="autoZero"/>
        <c:auto val="1"/>
        <c:lblAlgn val="ctr"/>
        <c:lblOffset val="100"/>
        <c:noMultiLvlLbl val="0"/>
      </c:catAx>
      <c:valAx>
        <c:axId val="17585769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enrolment</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047339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Sheet1!$A$2</c:f>
              <c:strCache>
                <c:ptCount val="1"/>
                <c:pt idx="0">
                  <c:v>Netherlands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DE52-4E77-9E43-2A44483573E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DE52-4E77-9E43-2A44483573E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DE52-4E77-9E43-2A44483573E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DE52-4E77-9E43-2A44483573E9}"/>
              </c:ext>
            </c:extLst>
          </c:dPt>
          <c:cat>
            <c:strRef>
              <c:f>Sheet1!$B$1:$E$1</c:f>
              <c:strCache>
                <c:ptCount val="4"/>
                <c:pt idx="0">
                  <c:v>A</c:v>
                </c:pt>
                <c:pt idx="1">
                  <c:v>B</c:v>
                </c:pt>
                <c:pt idx="2">
                  <c:v>C</c:v>
                </c:pt>
                <c:pt idx="3">
                  <c:v>D</c:v>
                </c:pt>
              </c:strCache>
            </c:strRef>
          </c:cat>
          <c:val>
            <c:numRef>
              <c:f>Sheet1!$B$2:$E$2</c:f>
              <c:numCache>
                <c:formatCode>General</c:formatCode>
                <c:ptCount val="4"/>
                <c:pt idx="0">
                  <c:v>20</c:v>
                </c:pt>
                <c:pt idx="1">
                  <c:v>33</c:v>
                </c:pt>
                <c:pt idx="2">
                  <c:v>10</c:v>
                </c:pt>
                <c:pt idx="3">
                  <c:v>30</c:v>
                </c:pt>
              </c:numCache>
            </c:numRef>
          </c:val>
          <c:extLst>
            <c:ext xmlns:c16="http://schemas.microsoft.com/office/drawing/2014/chart" uri="{C3380CC4-5D6E-409C-BE32-E72D297353CC}">
              <c16:uniqueId val="{00000008-DE52-4E77-9E43-2A44483573E9}"/>
            </c:ext>
          </c:extLst>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1"/>
                <c:order val="1"/>
                <c:tx>
                  <c:strRef>
                    <c:extLst>
                      <c:ext uri="{02D57815-91ED-43cb-92C2-25804820EDAC}">
                        <c15:formulaRef>
                          <c15:sqref>Sheet1!$A$3</c15:sqref>
                        </c15:formulaRef>
                      </c:ext>
                    </c:extLst>
                    <c:strCache>
                      <c:ptCount val="1"/>
                      <c:pt idx="0">
                        <c:v>Austria</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A-DE52-4E77-9E43-2A44483573E9}"/>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C-DE52-4E77-9E43-2A44483573E9}"/>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E-DE52-4E77-9E43-2A44483573E9}"/>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10-DE52-4E77-9E43-2A44483573E9}"/>
                    </c:ext>
                  </c:extLst>
                </c:dPt>
                <c:val>
                  <c:numRef>
                    <c:extLst>
                      <c:ext uri="{02D57815-91ED-43cb-92C2-25804820EDAC}">
                        <c15:formulaRef>
                          <c15:sqref>Sheet1!$B$3:$E$3</c15:sqref>
                        </c15:formulaRef>
                      </c:ext>
                    </c:extLst>
                    <c:numCache>
                      <c:formatCode>General</c:formatCode>
                      <c:ptCount val="4"/>
                      <c:pt idx="0">
                        <c:v>35</c:v>
                      </c:pt>
                      <c:pt idx="1">
                        <c:v>24</c:v>
                      </c:pt>
                      <c:pt idx="2">
                        <c:v>20</c:v>
                      </c:pt>
                      <c:pt idx="3">
                        <c:v>30</c:v>
                      </c:pt>
                    </c:numCache>
                  </c:numRef>
                </c:val>
                <c:extLst>
                  <c:ext xmlns:c16="http://schemas.microsoft.com/office/drawing/2014/chart" uri="{C3380CC4-5D6E-409C-BE32-E72D297353CC}">
                    <c16:uniqueId val="{00000011-DE52-4E77-9E43-2A44483573E9}"/>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Sheet1!$A$2</c:f>
              <c:strCache>
                <c:ptCount val="1"/>
                <c:pt idx="0">
                  <c:v>Netherlands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24F4-4CC2-973C-49AFB9B96BA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24F4-4CC2-973C-49AFB9B96BA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24F4-4CC2-973C-49AFB9B96BA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24F4-4CC2-973C-49AFB9B96BA4}"/>
              </c:ext>
            </c:extLst>
          </c:dPt>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fld id="{219A0895-37CC-4118-9CD2-79EF72840A0A}" type="CATEGORYNAME">
                      <a:rPr lang="en-US" b="1"/>
                      <a:pPr>
                        <a:defRPr/>
                      </a:pPr>
                      <a:t>[CATEGORY NAME]</a:t>
                    </a:fld>
                    <a:r>
                      <a:rPr lang="en-US" b="1" baseline="0"/>
                      <a:t>
</a:t>
                    </a:r>
                    <a:fld id="{675FD786-EF22-4FCA-A107-F81FC0714503}" type="PERCENTAGE">
                      <a:rPr lang="en-US" b="1" baseline="0"/>
                      <a:pPr>
                        <a:defRPr/>
                      </a:pPr>
                      <a:t>[PERCENTAGE]</a:t>
                    </a:fld>
                    <a:endParaRPr lang="en-US" b="1" baseline="0"/>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4F4-4CC2-973C-49AFB9B96BA4}"/>
                </c:ext>
              </c:extLst>
            </c:dLbl>
            <c:dLbl>
              <c:idx val="1"/>
              <c:tx>
                <c:rich>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fld id="{9247AC02-7754-4039-9061-C9E8077B5984}" type="CATEGORYNAME">
                      <a:rPr lang="en-US" b="1"/>
                      <a:pPr>
                        <a:defRPr/>
                      </a:pPr>
                      <a:t>[CATEGORY NAME]</a:t>
                    </a:fld>
                    <a:r>
                      <a:rPr lang="en-US" b="1" baseline="0"/>
                      <a:t>
</a:t>
                    </a:r>
                    <a:fld id="{D1B14204-4375-4213-BC58-8F09D30E99EA}" type="PERCENTAGE">
                      <a:rPr lang="en-US" b="1" baseline="0"/>
                      <a:pPr>
                        <a:defRPr/>
                      </a:pPr>
                      <a:t>[PERCENTAGE]</a:t>
                    </a:fld>
                    <a:endParaRPr lang="en-US" b="1" baseline="0"/>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4F4-4CC2-973C-49AFB9B96BA4}"/>
                </c:ext>
              </c:extLst>
            </c:dLbl>
            <c:dLbl>
              <c:idx val="2"/>
              <c:tx>
                <c:rich>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fld id="{A46A03B4-83BD-481B-8BC3-78DA26A61720}" type="CATEGORYNAME">
                      <a:rPr lang="en-US" b="1"/>
                      <a:pPr>
                        <a:defRPr/>
                      </a:pPr>
                      <a:t>[CATEGORY NAME]</a:t>
                    </a:fld>
                    <a:r>
                      <a:rPr lang="en-US" b="1" baseline="0"/>
                      <a:t>
</a:t>
                    </a:r>
                    <a:fld id="{B4579FC5-D5EB-4AE2-BB06-0DBBA489FCCD}" type="PERCENTAGE">
                      <a:rPr lang="en-US" b="1" baseline="0"/>
                      <a:pPr>
                        <a:defRPr/>
                      </a:pPr>
                      <a:t>[PERCENTAGE]</a:t>
                    </a:fld>
                    <a:endParaRPr lang="en-US" b="1" baseline="0"/>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4F4-4CC2-973C-49AFB9B96B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Sheet1!$B$1:$E$1</c:f>
              <c:strCache>
                <c:ptCount val="4"/>
                <c:pt idx="0">
                  <c:v>A</c:v>
                </c:pt>
                <c:pt idx="1">
                  <c:v>B</c:v>
                </c:pt>
                <c:pt idx="2">
                  <c:v>C</c:v>
                </c:pt>
                <c:pt idx="3">
                  <c:v>D</c:v>
                </c:pt>
              </c:strCache>
            </c:strRef>
          </c:cat>
          <c:val>
            <c:numRef>
              <c:f>Sheet1!$B$2:$E$2</c:f>
              <c:numCache>
                <c:formatCode>General</c:formatCode>
                <c:ptCount val="4"/>
                <c:pt idx="0">
                  <c:v>20</c:v>
                </c:pt>
                <c:pt idx="1">
                  <c:v>33</c:v>
                </c:pt>
                <c:pt idx="2">
                  <c:v>10</c:v>
                </c:pt>
                <c:pt idx="3">
                  <c:v>30</c:v>
                </c:pt>
              </c:numCache>
            </c:numRef>
          </c:val>
          <c:extLst>
            <c:ext xmlns:c16="http://schemas.microsoft.com/office/drawing/2014/chart" uri="{C3380CC4-5D6E-409C-BE32-E72D297353CC}">
              <c16:uniqueId val="{00000008-24F4-4CC2-973C-49AFB9B96BA4}"/>
            </c:ext>
          </c:extLst>
        </c:ser>
        <c:dLbls>
          <c:showLegendKey val="0"/>
          <c:showVal val="0"/>
          <c:showCatName val="1"/>
          <c:showSerName val="0"/>
          <c:showPercent val="1"/>
          <c:showBubbleSize val="0"/>
          <c:showLeaderLines val="1"/>
        </c:dLbls>
        <c:firstSliceAng val="0"/>
        <c:extLst>
          <c:ext xmlns:c15="http://schemas.microsoft.com/office/drawing/2012/chart" uri="{02D57815-91ED-43cb-92C2-25804820EDAC}">
            <c15:filteredPieSeries>
              <c15:ser>
                <c:idx val="1"/>
                <c:order val="1"/>
                <c:tx>
                  <c:strRef>
                    <c:extLst>
                      <c:ext uri="{02D57815-91ED-43cb-92C2-25804820EDAC}">
                        <c15:formulaRef>
                          <c15:sqref>Sheet1!$A$3</c15:sqref>
                        </c15:formulaRef>
                      </c:ext>
                    </c:extLst>
                    <c:strCache>
                      <c:ptCount val="1"/>
                      <c:pt idx="0">
                        <c:v>Austria</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A-24F4-4CC2-973C-49AFB9B96BA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C-24F4-4CC2-973C-49AFB9B96BA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E-24F4-4CC2-973C-49AFB9B96BA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10-24F4-4CC2-973C-49AFB9B96BA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uri="{CE6537A1-D6FC-4f65-9D91-7224C49458BB}"/>
                  </c:extLst>
                </c:dLbls>
                <c:val>
                  <c:numRef>
                    <c:extLst>
                      <c:ext uri="{02D57815-91ED-43cb-92C2-25804820EDAC}">
                        <c15:formulaRef>
                          <c15:sqref>Sheet1!$B$3:$E$3</c15:sqref>
                        </c15:formulaRef>
                      </c:ext>
                    </c:extLst>
                    <c:numCache>
                      <c:formatCode>General</c:formatCode>
                      <c:ptCount val="4"/>
                      <c:pt idx="0">
                        <c:v>35</c:v>
                      </c:pt>
                      <c:pt idx="1">
                        <c:v>24</c:v>
                      </c:pt>
                      <c:pt idx="2">
                        <c:v>20</c:v>
                      </c:pt>
                      <c:pt idx="3">
                        <c:v>30</c:v>
                      </c:pt>
                    </c:numCache>
                  </c:numRef>
                </c:val>
                <c:extLst>
                  <c:ext xmlns:c16="http://schemas.microsoft.com/office/drawing/2014/chart" uri="{C3380CC4-5D6E-409C-BE32-E72D297353CC}">
                    <c16:uniqueId val="{00000011-24F4-4CC2-973C-49AFB9B96BA4}"/>
                  </c:ext>
                </c:extLst>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Sheet1!$A$2</c:f>
              <c:strCache>
                <c:ptCount val="1"/>
                <c:pt idx="0">
                  <c:v>Netherlands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8B72-4221-A35F-D0559A3C445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8B72-4221-A35F-D0559A3C445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8B72-4221-A35F-D0559A3C445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8B72-4221-A35F-D0559A3C445F}"/>
              </c:ext>
            </c:extLst>
          </c:dPt>
          <c:dLbls>
            <c:dLbl>
              <c:idx val="0"/>
              <c:tx>
                <c:rich>
                  <a:bodyPr/>
                  <a:lstStyle/>
                  <a:p>
                    <a:fld id="{219A0895-37CC-4118-9CD2-79EF72840A0A}" type="CATEGORYNAME">
                      <a:rPr lang="en-US"/>
                      <a:pPr/>
                      <a:t>[CATEGORY NAME]</a:t>
                    </a:fld>
                    <a:r>
                      <a:rPr lang="en-US"/>
                      <a:t>
</a:t>
                    </a:r>
                    <a:fld id="{675FD786-EF22-4FCA-A107-F81FC0714503}" type="PERCENTAGE">
                      <a:rPr lang="en-US"/>
                      <a:pPr/>
                      <a:t>[PERCENTAGE]</a:t>
                    </a:fld>
                    <a:endParaRPr lang="en-US"/>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B72-4221-A35F-D0559A3C445F}"/>
                </c:ext>
              </c:extLst>
            </c:dLbl>
            <c:dLbl>
              <c:idx val="1"/>
              <c:tx>
                <c:rich>
                  <a:bodyPr/>
                  <a:lstStyle/>
                  <a:p>
                    <a:fld id="{9247AC02-7754-4039-9061-C9E8077B5984}" type="CATEGORYNAME">
                      <a:rPr lang="en-US"/>
                      <a:pPr/>
                      <a:t>[CATEGORY NAME]</a:t>
                    </a:fld>
                    <a:r>
                      <a:rPr lang="en-US"/>
                      <a:t>
</a:t>
                    </a:r>
                    <a:fld id="{D1B14204-4375-4213-BC58-8F09D30E99EA}" type="PERCENTAGE">
                      <a:rPr lang="en-US"/>
                      <a:pPr/>
                      <a:t>[PERCENTAGE]</a:t>
                    </a:fld>
                    <a:endParaRPr lang="en-US"/>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B72-4221-A35F-D0559A3C445F}"/>
                </c:ext>
              </c:extLst>
            </c:dLbl>
            <c:dLbl>
              <c:idx val="2"/>
              <c:tx>
                <c:rich>
                  <a:bodyPr/>
                  <a:lstStyle/>
                  <a:p>
                    <a:fld id="{A46A03B4-83BD-481B-8BC3-78DA26A61720}" type="CATEGORYNAME">
                      <a:rPr lang="en-US"/>
                      <a:pPr/>
                      <a:t>[CATEGORY NAME]</a:t>
                    </a:fld>
                    <a:r>
                      <a:rPr lang="en-US"/>
                      <a:t>
</a:t>
                    </a:r>
                    <a:fld id="{B4579FC5-D5EB-4AE2-BB06-0DBBA489FCCD}" type="PERCENTAGE">
                      <a:rPr lang="en-US"/>
                      <a:pPr/>
                      <a:t>[PERCENTAGE]</a:t>
                    </a:fld>
                    <a:endParaRPr lang="en-US"/>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8B72-4221-A35F-D0559A3C445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Sheet1!$B$1:$E$1</c:f>
              <c:strCache>
                <c:ptCount val="4"/>
                <c:pt idx="0">
                  <c:v>A</c:v>
                </c:pt>
                <c:pt idx="1">
                  <c:v>B</c:v>
                </c:pt>
                <c:pt idx="2">
                  <c:v>C</c:v>
                </c:pt>
                <c:pt idx="3">
                  <c:v>D</c:v>
                </c:pt>
              </c:strCache>
            </c:strRef>
          </c:cat>
          <c:val>
            <c:numRef>
              <c:f>Sheet1!$B$2:$E$2</c:f>
              <c:numCache>
                <c:formatCode>General</c:formatCode>
                <c:ptCount val="4"/>
                <c:pt idx="0">
                  <c:v>20</c:v>
                </c:pt>
                <c:pt idx="1">
                  <c:v>33</c:v>
                </c:pt>
                <c:pt idx="2">
                  <c:v>10</c:v>
                </c:pt>
                <c:pt idx="3">
                  <c:v>30</c:v>
                </c:pt>
              </c:numCache>
            </c:numRef>
          </c:val>
          <c:extLst>
            <c:ext xmlns:c16="http://schemas.microsoft.com/office/drawing/2014/chart" uri="{C3380CC4-5D6E-409C-BE32-E72D297353CC}">
              <c16:uniqueId val="{00000008-8B72-4221-A35F-D0559A3C445F}"/>
            </c:ext>
          </c:extLst>
        </c:ser>
        <c:dLbls>
          <c:showLegendKey val="0"/>
          <c:showVal val="0"/>
          <c:showCatName val="1"/>
          <c:showSerName val="0"/>
          <c:showPercent val="1"/>
          <c:showBubbleSize val="0"/>
          <c:showLeaderLines val="1"/>
        </c:dLbls>
        <c:extLst>
          <c:ext xmlns:c15="http://schemas.microsoft.com/office/drawing/2012/chart" uri="{02D57815-91ED-43cb-92C2-25804820EDAC}">
            <c15:filteredPieSeries>
              <c15:ser>
                <c:idx val="1"/>
                <c:order val="1"/>
                <c:tx>
                  <c:strRef>
                    <c:extLst>
                      <c:ext uri="{02D57815-91ED-43cb-92C2-25804820EDAC}">
                        <c15:formulaRef>
                          <c15:sqref>Sheet1!$A$3</c15:sqref>
                        </c15:formulaRef>
                      </c:ext>
                    </c:extLst>
                    <c:strCache>
                      <c:ptCount val="1"/>
                      <c:pt idx="0">
                        <c:v>Austria</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A-8B72-4221-A35F-D0559A3C445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C-8B72-4221-A35F-D0559A3C445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E-8B72-4221-A35F-D0559A3C445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10-8B72-4221-A35F-D0559A3C445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uri="{CE6537A1-D6FC-4f65-9D91-7224C49458BB}"/>
                  </c:extLst>
                </c:dLbls>
                <c:val>
                  <c:numRef>
                    <c:extLst>
                      <c:ext uri="{02D57815-91ED-43cb-92C2-25804820EDAC}">
                        <c15:formulaRef>
                          <c15:sqref>Sheet1!$B$3:$E$3</c15:sqref>
                        </c15:formulaRef>
                      </c:ext>
                    </c:extLst>
                    <c:numCache>
                      <c:formatCode>General</c:formatCode>
                      <c:ptCount val="4"/>
                      <c:pt idx="0">
                        <c:v>35</c:v>
                      </c:pt>
                      <c:pt idx="1">
                        <c:v>24</c:v>
                      </c:pt>
                      <c:pt idx="2">
                        <c:v>20</c:v>
                      </c:pt>
                      <c:pt idx="3">
                        <c:v>30</c:v>
                      </c:pt>
                    </c:numCache>
                  </c:numRef>
                </c:val>
                <c:extLst>
                  <c:ext xmlns:c16="http://schemas.microsoft.com/office/drawing/2014/chart" uri="{C3380CC4-5D6E-409C-BE32-E72D297353CC}">
                    <c16:uniqueId val="{00000011-8B72-4221-A35F-D0559A3C445F}"/>
                  </c:ext>
                </c:extLst>
              </c15:ser>
            </c15:filteredPieSeries>
          </c:ext>
        </c:extLst>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Sheet1!$A$2</c:f>
              <c:strCache>
                <c:ptCount val="1"/>
                <c:pt idx="0">
                  <c:v>Netherlands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C362-41AB-8789-30EB4555D92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C362-41AB-8789-30EB4555D92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C362-41AB-8789-30EB4555D92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C362-41AB-8789-30EB4555D9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Sheet1!$B$1:$E$1</c:f>
              <c:strCache>
                <c:ptCount val="4"/>
                <c:pt idx="0">
                  <c:v>A</c:v>
                </c:pt>
                <c:pt idx="1">
                  <c:v>B</c:v>
                </c:pt>
                <c:pt idx="2">
                  <c:v>C</c:v>
                </c:pt>
                <c:pt idx="3">
                  <c:v>D</c:v>
                </c:pt>
              </c:strCache>
            </c:strRef>
          </c:cat>
          <c:val>
            <c:numRef>
              <c:f>Sheet1!$B$2:$E$2</c:f>
              <c:numCache>
                <c:formatCode>General</c:formatCode>
                <c:ptCount val="4"/>
                <c:pt idx="0">
                  <c:v>20</c:v>
                </c:pt>
                <c:pt idx="1">
                  <c:v>33</c:v>
                </c:pt>
                <c:pt idx="2">
                  <c:v>10</c:v>
                </c:pt>
                <c:pt idx="3">
                  <c:v>30</c:v>
                </c:pt>
              </c:numCache>
            </c:numRef>
          </c:val>
          <c:extLst>
            <c:ext xmlns:c16="http://schemas.microsoft.com/office/drawing/2014/chart" uri="{C3380CC4-5D6E-409C-BE32-E72D297353CC}">
              <c16:uniqueId val="{00000008-C362-41AB-8789-30EB4555D925}"/>
            </c:ext>
          </c:extLst>
        </c:ser>
        <c:dLbls>
          <c:showLegendKey val="0"/>
          <c:showVal val="0"/>
          <c:showCatName val="1"/>
          <c:showSerName val="0"/>
          <c:showPercent val="1"/>
          <c:showBubbleSize val="0"/>
          <c:showLeaderLines val="1"/>
        </c:dLbls>
        <c:firstSliceAng val="0"/>
        <c:extLst>
          <c:ext xmlns:c15="http://schemas.microsoft.com/office/drawing/2012/chart" uri="{02D57815-91ED-43cb-92C2-25804820EDAC}">
            <c15:filteredPieSeries>
              <c15:ser>
                <c:idx val="1"/>
                <c:order val="1"/>
                <c:tx>
                  <c:strRef>
                    <c:extLst>
                      <c:ext uri="{02D57815-91ED-43cb-92C2-25804820EDAC}">
                        <c15:formulaRef>
                          <c15:sqref>Sheet1!$A$3</c15:sqref>
                        </c15:formulaRef>
                      </c:ext>
                    </c:extLst>
                    <c:strCache>
                      <c:ptCount val="1"/>
                      <c:pt idx="0">
                        <c:v>Austria</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A-C362-41AB-8789-30EB4555D92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C-C362-41AB-8789-30EB4555D92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E-C362-41AB-8789-30EB4555D92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10-C362-41AB-8789-30EB4555D9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uri="{CE6537A1-D6FC-4f65-9D91-7224C49458BB}"/>
                  </c:extLst>
                </c:dLbls>
                <c:val>
                  <c:numRef>
                    <c:extLst>
                      <c:ext uri="{02D57815-91ED-43cb-92C2-25804820EDAC}">
                        <c15:formulaRef>
                          <c15:sqref>Sheet1!$B$3:$E$3</c15:sqref>
                        </c15:formulaRef>
                      </c:ext>
                    </c:extLst>
                    <c:numCache>
                      <c:formatCode>General</c:formatCode>
                      <c:ptCount val="4"/>
                      <c:pt idx="0">
                        <c:v>35</c:v>
                      </c:pt>
                      <c:pt idx="1">
                        <c:v>24</c:v>
                      </c:pt>
                      <c:pt idx="2">
                        <c:v>20</c:v>
                      </c:pt>
                      <c:pt idx="3">
                        <c:v>30</c:v>
                      </c:pt>
                    </c:numCache>
                  </c:numRef>
                </c:val>
                <c:extLst>
                  <c:ext xmlns:c16="http://schemas.microsoft.com/office/drawing/2014/chart" uri="{C3380CC4-5D6E-409C-BE32-E72D297353CC}">
                    <c16:uniqueId val="{00000011-C362-41AB-8789-30EB4555D925}"/>
                  </c:ext>
                </c:extLst>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Sheet1!$A$3</c:f>
              <c:strCache>
                <c:ptCount val="1"/>
                <c:pt idx="0">
                  <c:v>Austria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79B-48E6-A201-72E79DC8E2F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79B-48E6-A201-72E79DC8E2F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79B-48E6-A201-72E79DC8E2F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79B-48E6-A201-72E79DC8E2F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Sheet1!$B$1:$E$1</c:f>
              <c:strCache>
                <c:ptCount val="4"/>
                <c:pt idx="0">
                  <c:v>A</c:v>
                </c:pt>
                <c:pt idx="1">
                  <c:v>B</c:v>
                </c:pt>
                <c:pt idx="2">
                  <c:v>C</c:v>
                </c:pt>
                <c:pt idx="3">
                  <c:v>D</c:v>
                </c:pt>
              </c:strCache>
            </c:strRef>
          </c:cat>
          <c:val>
            <c:numRef>
              <c:f>Sheet1!$B$3:$E$3</c:f>
              <c:numCache>
                <c:formatCode>General</c:formatCode>
                <c:ptCount val="4"/>
                <c:pt idx="0">
                  <c:v>35</c:v>
                </c:pt>
                <c:pt idx="1">
                  <c:v>24</c:v>
                </c:pt>
                <c:pt idx="2">
                  <c:v>20</c:v>
                </c:pt>
                <c:pt idx="3">
                  <c:v>30</c:v>
                </c:pt>
              </c:numCache>
            </c:numRef>
          </c:val>
          <c:extLst>
            <c:ext xmlns:c16="http://schemas.microsoft.com/office/drawing/2014/chart" uri="{C3380CC4-5D6E-409C-BE32-E72D297353CC}">
              <c16:uniqueId val="{00000008-E79B-48E6-A201-72E79DC8E2F5}"/>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Sheet1!$A$4</c:f>
              <c:strCache>
                <c:ptCount val="1"/>
                <c:pt idx="0">
                  <c:v>Belgium</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971-479F-AC63-4F0F94286A4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971-479F-AC63-4F0F94286A4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971-479F-AC63-4F0F94286A4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971-479F-AC63-4F0F94286A4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Sheet1!$B$1:$E$1</c:f>
              <c:strCache>
                <c:ptCount val="4"/>
                <c:pt idx="0">
                  <c:v>A</c:v>
                </c:pt>
                <c:pt idx="1">
                  <c:v>B</c:v>
                </c:pt>
                <c:pt idx="2">
                  <c:v>C</c:v>
                </c:pt>
                <c:pt idx="3">
                  <c:v>D</c:v>
                </c:pt>
              </c:strCache>
            </c:strRef>
          </c:cat>
          <c:val>
            <c:numRef>
              <c:f>Sheet1!$B$4:$E$4</c:f>
              <c:numCache>
                <c:formatCode>General</c:formatCode>
                <c:ptCount val="4"/>
                <c:pt idx="0">
                  <c:v>16</c:v>
                </c:pt>
                <c:pt idx="1">
                  <c:v>43</c:v>
                </c:pt>
                <c:pt idx="2">
                  <c:v>25</c:v>
                </c:pt>
                <c:pt idx="3">
                  <c:v>50</c:v>
                </c:pt>
              </c:numCache>
            </c:numRef>
          </c:val>
          <c:extLst>
            <c:ext xmlns:c16="http://schemas.microsoft.com/office/drawing/2014/chart" uri="{C3380CC4-5D6E-409C-BE32-E72D297353CC}">
              <c16:uniqueId val="{00000008-C971-479F-AC63-4F0F94286A44}"/>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Sheet1!$A$5</c:f>
              <c:strCache>
                <c:ptCount val="1"/>
                <c:pt idx="0">
                  <c:v>Norway</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680-4916-B85D-46DCB71F195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680-4916-B85D-46DCB71F195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680-4916-B85D-46DCB71F195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680-4916-B85D-46DCB71F195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Sheet1!$B$1:$E$1</c:f>
              <c:strCache>
                <c:ptCount val="4"/>
                <c:pt idx="0">
                  <c:v>A</c:v>
                </c:pt>
                <c:pt idx="1">
                  <c:v>B</c:v>
                </c:pt>
                <c:pt idx="2">
                  <c:v>C</c:v>
                </c:pt>
                <c:pt idx="3">
                  <c:v>D</c:v>
                </c:pt>
              </c:strCache>
            </c:strRef>
          </c:cat>
          <c:val>
            <c:numRef>
              <c:f>Sheet1!$B$5:$E$5</c:f>
              <c:numCache>
                <c:formatCode>General</c:formatCode>
                <c:ptCount val="4"/>
                <c:pt idx="0">
                  <c:v>42</c:v>
                </c:pt>
                <c:pt idx="1">
                  <c:v>52</c:v>
                </c:pt>
                <c:pt idx="2">
                  <c:v>30</c:v>
                </c:pt>
                <c:pt idx="3">
                  <c:v>35</c:v>
                </c:pt>
              </c:numCache>
            </c:numRef>
          </c:val>
          <c:extLst>
            <c:ext xmlns:c16="http://schemas.microsoft.com/office/drawing/2014/chart" uri="{C3380CC4-5D6E-409C-BE32-E72D297353CC}">
              <c16:uniqueId val="{00000008-D680-4916-B85D-46DCB71F1956}"/>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Product Sales by Country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c:v>
                </c:pt>
              </c:strCache>
            </c:strRef>
          </c:tx>
          <c:spPr>
            <a:solidFill>
              <a:schemeClr val="accent1"/>
            </a:solidFill>
            <a:ln>
              <a:noFill/>
            </a:ln>
            <a:effectLst/>
          </c:spPr>
          <c:invertIfNegative val="0"/>
          <c:cat>
            <c:strRef>
              <c:f>Sheet1!$A$2:$A$5</c:f>
              <c:strCache>
                <c:ptCount val="4"/>
                <c:pt idx="0">
                  <c:v>Netherlands</c:v>
                </c:pt>
                <c:pt idx="1">
                  <c:v>Austria</c:v>
                </c:pt>
                <c:pt idx="2">
                  <c:v>Belgium</c:v>
                </c:pt>
                <c:pt idx="3">
                  <c:v>Norway</c:v>
                </c:pt>
              </c:strCache>
            </c:strRef>
          </c:cat>
          <c:val>
            <c:numRef>
              <c:f>Sheet1!$B$2:$B$5</c:f>
              <c:numCache>
                <c:formatCode>General</c:formatCode>
                <c:ptCount val="4"/>
                <c:pt idx="0">
                  <c:v>20</c:v>
                </c:pt>
                <c:pt idx="1">
                  <c:v>35</c:v>
                </c:pt>
                <c:pt idx="2">
                  <c:v>16</c:v>
                </c:pt>
                <c:pt idx="3">
                  <c:v>42</c:v>
                </c:pt>
              </c:numCache>
            </c:numRef>
          </c:val>
          <c:extLst>
            <c:ext xmlns:c16="http://schemas.microsoft.com/office/drawing/2014/chart" uri="{C3380CC4-5D6E-409C-BE32-E72D297353CC}">
              <c16:uniqueId val="{00000000-750B-4AFF-B46C-6096135B6FC7}"/>
            </c:ext>
          </c:extLst>
        </c:ser>
        <c:ser>
          <c:idx val="1"/>
          <c:order val="1"/>
          <c:tx>
            <c:strRef>
              <c:f>Sheet1!$C$1</c:f>
              <c:strCache>
                <c:ptCount val="1"/>
                <c:pt idx="0">
                  <c:v>B</c:v>
                </c:pt>
              </c:strCache>
            </c:strRef>
          </c:tx>
          <c:spPr>
            <a:solidFill>
              <a:schemeClr val="accent2"/>
            </a:solidFill>
            <a:ln>
              <a:noFill/>
            </a:ln>
            <a:effectLst/>
          </c:spPr>
          <c:invertIfNegative val="0"/>
          <c:cat>
            <c:strRef>
              <c:f>Sheet1!$A$2:$A$5</c:f>
              <c:strCache>
                <c:ptCount val="4"/>
                <c:pt idx="0">
                  <c:v>Netherlands</c:v>
                </c:pt>
                <c:pt idx="1">
                  <c:v>Austria</c:v>
                </c:pt>
                <c:pt idx="2">
                  <c:v>Belgium</c:v>
                </c:pt>
                <c:pt idx="3">
                  <c:v>Norway</c:v>
                </c:pt>
              </c:strCache>
            </c:strRef>
          </c:cat>
          <c:val>
            <c:numRef>
              <c:f>Sheet1!$C$2:$C$5</c:f>
              <c:numCache>
                <c:formatCode>General</c:formatCode>
                <c:ptCount val="4"/>
                <c:pt idx="0">
                  <c:v>33</c:v>
                </c:pt>
                <c:pt idx="1">
                  <c:v>24</c:v>
                </c:pt>
                <c:pt idx="2">
                  <c:v>43</c:v>
                </c:pt>
                <c:pt idx="3">
                  <c:v>52</c:v>
                </c:pt>
              </c:numCache>
            </c:numRef>
          </c:val>
          <c:extLst>
            <c:ext xmlns:c16="http://schemas.microsoft.com/office/drawing/2014/chart" uri="{C3380CC4-5D6E-409C-BE32-E72D297353CC}">
              <c16:uniqueId val="{00000001-750B-4AFF-B46C-6096135B6FC7}"/>
            </c:ext>
          </c:extLst>
        </c:ser>
        <c:ser>
          <c:idx val="2"/>
          <c:order val="2"/>
          <c:tx>
            <c:strRef>
              <c:f>Sheet1!$D$1</c:f>
              <c:strCache>
                <c:ptCount val="1"/>
                <c:pt idx="0">
                  <c:v>C</c:v>
                </c:pt>
              </c:strCache>
            </c:strRef>
          </c:tx>
          <c:spPr>
            <a:solidFill>
              <a:schemeClr val="accent3"/>
            </a:solidFill>
            <a:ln>
              <a:noFill/>
            </a:ln>
            <a:effectLst/>
          </c:spPr>
          <c:invertIfNegative val="0"/>
          <c:cat>
            <c:strRef>
              <c:f>Sheet1!$A$2:$A$5</c:f>
              <c:strCache>
                <c:ptCount val="4"/>
                <c:pt idx="0">
                  <c:v>Netherlands</c:v>
                </c:pt>
                <c:pt idx="1">
                  <c:v>Austria</c:v>
                </c:pt>
                <c:pt idx="2">
                  <c:v>Belgium</c:v>
                </c:pt>
                <c:pt idx="3">
                  <c:v>Norway</c:v>
                </c:pt>
              </c:strCache>
            </c:strRef>
          </c:cat>
          <c:val>
            <c:numRef>
              <c:f>Sheet1!$D$2:$D$5</c:f>
              <c:numCache>
                <c:formatCode>General</c:formatCode>
                <c:ptCount val="4"/>
                <c:pt idx="0">
                  <c:v>10</c:v>
                </c:pt>
                <c:pt idx="1">
                  <c:v>20</c:v>
                </c:pt>
                <c:pt idx="2">
                  <c:v>25</c:v>
                </c:pt>
                <c:pt idx="3">
                  <c:v>30</c:v>
                </c:pt>
              </c:numCache>
            </c:numRef>
          </c:val>
          <c:extLst>
            <c:ext xmlns:c16="http://schemas.microsoft.com/office/drawing/2014/chart" uri="{C3380CC4-5D6E-409C-BE32-E72D297353CC}">
              <c16:uniqueId val="{00000002-750B-4AFF-B46C-6096135B6FC7}"/>
            </c:ext>
          </c:extLst>
        </c:ser>
        <c:ser>
          <c:idx val="3"/>
          <c:order val="3"/>
          <c:tx>
            <c:strRef>
              <c:f>Sheet1!$E$1</c:f>
              <c:strCache>
                <c:ptCount val="1"/>
                <c:pt idx="0">
                  <c:v>D</c:v>
                </c:pt>
              </c:strCache>
            </c:strRef>
          </c:tx>
          <c:spPr>
            <a:solidFill>
              <a:schemeClr val="accent4"/>
            </a:solidFill>
            <a:ln>
              <a:noFill/>
            </a:ln>
            <a:effectLst/>
          </c:spPr>
          <c:invertIfNegative val="0"/>
          <c:cat>
            <c:strRef>
              <c:f>Sheet1!$A$2:$A$5</c:f>
              <c:strCache>
                <c:ptCount val="4"/>
                <c:pt idx="0">
                  <c:v>Netherlands</c:v>
                </c:pt>
                <c:pt idx="1">
                  <c:v>Austria</c:v>
                </c:pt>
                <c:pt idx="2">
                  <c:v>Belgium</c:v>
                </c:pt>
                <c:pt idx="3">
                  <c:v>Norway</c:v>
                </c:pt>
              </c:strCache>
            </c:strRef>
          </c:cat>
          <c:val>
            <c:numRef>
              <c:f>Sheet1!$E$2:$E$5</c:f>
              <c:numCache>
                <c:formatCode>General</c:formatCode>
                <c:ptCount val="4"/>
                <c:pt idx="0">
                  <c:v>30</c:v>
                </c:pt>
                <c:pt idx="1">
                  <c:v>30</c:v>
                </c:pt>
                <c:pt idx="2">
                  <c:v>50</c:v>
                </c:pt>
                <c:pt idx="3">
                  <c:v>35</c:v>
                </c:pt>
              </c:numCache>
            </c:numRef>
          </c:val>
          <c:extLst>
            <c:ext xmlns:c16="http://schemas.microsoft.com/office/drawing/2014/chart" uri="{C3380CC4-5D6E-409C-BE32-E72D297353CC}">
              <c16:uniqueId val="{00000003-750B-4AFF-B46C-6096135B6FC7}"/>
            </c:ext>
          </c:extLst>
        </c:ser>
        <c:dLbls>
          <c:showLegendKey val="0"/>
          <c:showVal val="0"/>
          <c:showCatName val="0"/>
          <c:showSerName val="0"/>
          <c:showPercent val="0"/>
          <c:showBubbleSize val="0"/>
        </c:dLbls>
        <c:gapWidth val="219"/>
        <c:overlap val="-27"/>
        <c:axId val="1550525152"/>
        <c:axId val="1957088352"/>
      </c:barChart>
      <c:catAx>
        <c:axId val="155052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7088352"/>
        <c:crosses val="autoZero"/>
        <c:auto val="1"/>
        <c:lblAlgn val="ctr"/>
        <c:lblOffset val="100"/>
        <c:noMultiLvlLbl val="0"/>
      </c:catAx>
      <c:valAx>
        <c:axId val="1957088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Total </a:t>
                </a:r>
              </a:p>
              <a:p>
                <a:pPr>
                  <a:defRPr/>
                </a:pPr>
                <a:r>
                  <a:rPr lang="en-CA"/>
                  <a:t>Sales</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052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Product Sales by Country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Sheet1!$B$33</c:f>
              <c:strCache>
                <c:ptCount val="1"/>
                <c:pt idx="0">
                  <c:v>C</c:v>
                </c:pt>
              </c:strCache>
            </c:strRef>
          </c:tx>
          <c:spPr>
            <a:solidFill>
              <a:schemeClr val="accent1"/>
            </a:solidFill>
            <a:ln>
              <a:noFill/>
            </a:ln>
            <a:effectLst/>
          </c:spPr>
          <c:invertIfNegative val="0"/>
          <c:cat>
            <c:strRef>
              <c:f>Sheet1!$A$34:$A$37</c:f>
              <c:strCache>
                <c:ptCount val="4"/>
                <c:pt idx="0">
                  <c:v>Netherlands</c:v>
                </c:pt>
                <c:pt idx="1">
                  <c:v>Austria</c:v>
                </c:pt>
                <c:pt idx="2">
                  <c:v>Belgium</c:v>
                </c:pt>
                <c:pt idx="3">
                  <c:v>Norway</c:v>
                </c:pt>
              </c:strCache>
            </c:strRef>
          </c:cat>
          <c:val>
            <c:numRef>
              <c:f>Sheet1!$B$34:$B$37</c:f>
              <c:numCache>
                <c:formatCode>General</c:formatCode>
                <c:ptCount val="4"/>
                <c:pt idx="0">
                  <c:v>10</c:v>
                </c:pt>
                <c:pt idx="1">
                  <c:v>20</c:v>
                </c:pt>
                <c:pt idx="2">
                  <c:v>25</c:v>
                </c:pt>
                <c:pt idx="3">
                  <c:v>30</c:v>
                </c:pt>
              </c:numCache>
            </c:numRef>
          </c:val>
          <c:extLst>
            <c:ext xmlns:c16="http://schemas.microsoft.com/office/drawing/2014/chart" uri="{C3380CC4-5D6E-409C-BE32-E72D297353CC}">
              <c16:uniqueId val="{00000000-141A-4852-A24F-96B94FBA2F05}"/>
            </c:ext>
          </c:extLst>
        </c:ser>
        <c:ser>
          <c:idx val="1"/>
          <c:order val="1"/>
          <c:tx>
            <c:strRef>
              <c:f>Sheet1!$C$33</c:f>
              <c:strCache>
                <c:ptCount val="1"/>
                <c:pt idx="0">
                  <c:v>A</c:v>
                </c:pt>
              </c:strCache>
            </c:strRef>
          </c:tx>
          <c:spPr>
            <a:solidFill>
              <a:schemeClr val="accent2"/>
            </a:solidFill>
            <a:ln>
              <a:noFill/>
            </a:ln>
            <a:effectLst/>
          </c:spPr>
          <c:invertIfNegative val="0"/>
          <c:cat>
            <c:strRef>
              <c:f>Sheet1!$A$34:$A$37</c:f>
              <c:strCache>
                <c:ptCount val="4"/>
                <c:pt idx="0">
                  <c:v>Netherlands</c:v>
                </c:pt>
                <c:pt idx="1">
                  <c:v>Austria</c:v>
                </c:pt>
                <c:pt idx="2">
                  <c:v>Belgium</c:v>
                </c:pt>
                <c:pt idx="3">
                  <c:v>Norway</c:v>
                </c:pt>
              </c:strCache>
            </c:strRef>
          </c:cat>
          <c:val>
            <c:numRef>
              <c:f>Sheet1!$C$34:$C$37</c:f>
              <c:numCache>
                <c:formatCode>General</c:formatCode>
                <c:ptCount val="4"/>
                <c:pt idx="0">
                  <c:v>20</c:v>
                </c:pt>
                <c:pt idx="1">
                  <c:v>35</c:v>
                </c:pt>
                <c:pt idx="2">
                  <c:v>16</c:v>
                </c:pt>
                <c:pt idx="3">
                  <c:v>42</c:v>
                </c:pt>
              </c:numCache>
            </c:numRef>
          </c:val>
          <c:extLst>
            <c:ext xmlns:c16="http://schemas.microsoft.com/office/drawing/2014/chart" uri="{C3380CC4-5D6E-409C-BE32-E72D297353CC}">
              <c16:uniqueId val="{00000001-141A-4852-A24F-96B94FBA2F05}"/>
            </c:ext>
          </c:extLst>
        </c:ser>
        <c:ser>
          <c:idx val="2"/>
          <c:order val="2"/>
          <c:tx>
            <c:strRef>
              <c:f>Sheet1!$D$33</c:f>
              <c:strCache>
                <c:ptCount val="1"/>
                <c:pt idx="0">
                  <c:v>D</c:v>
                </c:pt>
              </c:strCache>
            </c:strRef>
          </c:tx>
          <c:spPr>
            <a:solidFill>
              <a:schemeClr val="accent3"/>
            </a:solidFill>
            <a:ln>
              <a:noFill/>
            </a:ln>
            <a:effectLst/>
          </c:spPr>
          <c:invertIfNegative val="0"/>
          <c:cat>
            <c:strRef>
              <c:f>Sheet1!$A$34:$A$37</c:f>
              <c:strCache>
                <c:ptCount val="4"/>
                <c:pt idx="0">
                  <c:v>Netherlands</c:v>
                </c:pt>
                <c:pt idx="1">
                  <c:v>Austria</c:v>
                </c:pt>
                <c:pt idx="2">
                  <c:v>Belgium</c:v>
                </c:pt>
                <c:pt idx="3">
                  <c:v>Norway</c:v>
                </c:pt>
              </c:strCache>
            </c:strRef>
          </c:cat>
          <c:val>
            <c:numRef>
              <c:f>Sheet1!$D$34:$D$37</c:f>
              <c:numCache>
                <c:formatCode>General</c:formatCode>
                <c:ptCount val="4"/>
                <c:pt idx="0">
                  <c:v>30</c:v>
                </c:pt>
                <c:pt idx="1">
                  <c:v>30</c:v>
                </c:pt>
                <c:pt idx="2">
                  <c:v>50</c:v>
                </c:pt>
                <c:pt idx="3">
                  <c:v>35</c:v>
                </c:pt>
              </c:numCache>
            </c:numRef>
          </c:val>
          <c:extLst>
            <c:ext xmlns:c16="http://schemas.microsoft.com/office/drawing/2014/chart" uri="{C3380CC4-5D6E-409C-BE32-E72D297353CC}">
              <c16:uniqueId val="{00000002-141A-4852-A24F-96B94FBA2F05}"/>
            </c:ext>
          </c:extLst>
        </c:ser>
        <c:ser>
          <c:idx val="3"/>
          <c:order val="3"/>
          <c:tx>
            <c:strRef>
              <c:f>Sheet1!$E$33</c:f>
              <c:strCache>
                <c:ptCount val="1"/>
                <c:pt idx="0">
                  <c:v>B</c:v>
                </c:pt>
              </c:strCache>
            </c:strRef>
          </c:tx>
          <c:spPr>
            <a:solidFill>
              <a:schemeClr val="accent4"/>
            </a:solidFill>
            <a:ln>
              <a:noFill/>
            </a:ln>
            <a:effectLst/>
          </c:spPr>
          <c:invertIfNegative val="0"/>
          <c:cat>
            <c:strRef>
              <c:f>Sheet1!$A$34:$A$37</c:f>
              <c:strCache>
                <c:ptCount val="4"/>
                <c:pt idx="0">
                  <c:v>Netherlands</c:v>
                </c:pt>
                <c:pt idx="1">
                  <c:v>Austria</c:v>
                </c:pt>
                <c:pt idx="2">
                  <c:v>Belgium</c:v>
                </c:pt>
                <c:pt idx="3">
                  <c:v>Norway</c:v>
                </c:pt>
              </c:strCache>
            </c:strRef>
          </c:cat>
          <c:val>
            <c:numRef>
              <c:f>Sheet1!$E$34:$E$37</c:f>
              <c:numCache>
                <c:formatCode>General</c:formatCode>
                <c:ptCount val="4"/>
                <c:pt idx="0">
                  <c:v>33</c:v>
                </c:pt>
                <c:pt idx="1">
                  <c:v>24</c:v>
                </c:pt>
                <c:pt idx="2">
                  <c:v>43</c:v>
                </c:pt>
                <c:pt idx="3">
                  <c:v>52</c:v>
                </c:pt>
              </c:numCache>
            </c:numRef>
          </c:val>
          <c:extLst>
            <c:ext xmlns:c16="http://schemas.microsoft.com/office/drawing/2014/chart" uri="{C3380CC4-5D6E-409C-BE32-E72D297353CC}">
              <c16:uniqueId val="{00000003-141A-4852-A24F-96B94FBA2F05}"/>
            </c:ext>
          </c:extLst>
        </c:ser>
        <c:dLbls>
          <c:showLegendKey val="0"/>
          <c:showVal val="0"/>
          <c:showCatName val="0"/>
          <c:showSerName val="0"/>
          <c:showPercent val="0"/>
          <c:showBubbleSize val="0"/>
        </c:dLbls>
        <c:gapWidth val="219"/>
        <c:overlap val="-27"/>
        <c:axId val="1752026864"/>
        <c:axId val="1816458272"/>
      </c:barChart>
      <c:catAx>
        <c:axId val="175202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6458272"/>
        <c:crosses val="autoZero"/>
        <c:auto val="1"/>
        <c:lblAlgn val="ctr"/>
        <c:lblOffset val="100"/>
        <c:noMultiLvlLbl val="0"/>
      </c:catAx>
      <c:valAx>
        <c:axId val="1816458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Total</a:t>
                </a:r>
              </a:p>
              <a:p>
                <a:pPr>
                  <a:defRPr/>
                </a:pPr>
                <a:r>
                  <a:rPr lang="en-CA"/>
                  <a:t>Sales</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2026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Product Sales by Country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c:v>
                </c:pt>
              </c:strCache>
            </c:strRef>
          </c:tx>
          <c:spPr>
            <a:solidFill>
              <a:schemeClr val="accent1"/>
            </a:solidFill>
            <a:ln>
              <a:noFill/>
            </a:ln>
            <a:effectLst/>
          </c:spPr>
          <c:invertIfNegative val="0"/>
          <c:cat>
            <c:strRef>
              <c:f>Sheet1!$A$2:$A$5</c:f>
              <c:strCache>
                <c:ptCount val="4"/>
                <c:pt idx="0">
                  <c:v>Netherlands</c:v>
                </c:pt>
                <c:pt idx="1">
                  <c:v>Austria</c:v>
                </c:pt>
                <c:pt idx="2">
                  <c:v>Belgium</c:v>
                </c:pt>
                <c:pt idx="3">
                  <c:v>Norway</c:v>
                </c:pt>
              </c:strCache>
            </c:strRef>
          </c:cat>
          <c:val>
            <c:numRef>
              <c:f>Sheet1!$B$2:$B$5</c:f>
              <c:numCache>
                <c:formatCode>General</c:formatCode>
                <c:ptCount val="4"/>
                <c:pt idx="0">
                  <c:v>20</c:v>
                </c:pt>
                <c:pt idx="1">
                  <c:v>35</c:v>
                </c:pt>
                <c:pt idx="2">
                  <c:v>16</c:v>
                </c:pt>
                <c:pt idx="3">
                  <c:v>42</c:v>
                </c:pt>
              </c:numCache>
            </c:numRef>
          </c:val>
          <c:extLst>
            <c:ext xmlns:c16="http://schemas.microsoft.com/office/drawing/2014/chart" uri="{C3380CC4-5D6E-409C-BE32-E72D297353CC}">
              <c16:uniqueId val="{00000000-684C-430D-9454-82EDACDDF774}"/>
            </c:ext>
          </c:extLst>
        </c:ser>
        <c:ser>
          <c:idx val="1"/>
          <c:order val="1"/>
          <c:tx>
            <c:strRef>
              <c:f>Sheet1!$C$1</c:f>
              <c:strCache>
                <c:ptCount val="1"/>
                <c:pt idx="0">
                  <c:v>B</c:v>
                </c:pt>
              </c:strCache>
            </c:strRef>
          </c:tx>
          <c:spPr>
            <a:solidFill>
              <a:schemeClr val="accent2"/>
            </a:solidFill>
            <a:ln>
              <a:noFill/>
            </a:ln>
            <a:effectLst/>
          </c:spPr>
          <c:invertIfNegative val="0"/>
          <c:cat>
            <c:strRef>
              <c:f>Sheet1!$A$2:$A$5</c:f>
              <c:strCache>
                <c:ptCount val="4"/>
                <c:pt idx="0">
                  <c:v>Netherlands</c:v>
                </c:pt>
                <c:pt idx="1">
                  <c:v>Austria</c:v>
                </c:pt>
                <c:pt idx="2">
                  <c:v>Belgium</c:v>
                </c:pt>
                <c:pt idx="3">
                  <c:v>Norway</c:v>
                </c:pt>
              </c:strCache>
            </c:strRef>
          </c:cat>
          <c:val>
            <c:numRef>
              <c:f>Sheet1!$C$2:$C$5</c:f>
              <c:numCache>
                <c:formatCode>General</c:formatCode>
                <c:ptCount val="4"/>
                <c:pt idx="0">
                  <c:v>33</c:v>
                </c:pt>
                <c:pt idx="1">
                  <c:v>24</c:v>
                </c:pt>
                <c:pt idx="2">
                  <c:v>43</c:v>
                </c:pt>
                <c:pt idx="3">
                  <c:v>52</c:v>
                </c:pt>
              </c:numCache>
            </c:numRef>
          </c:val>
          <c:extLst>
            <c:ext xmlns:c16="http://schemas.microsoft.com/office/drawing/2014/chart" uri="{C3380CC4-5D6E-409C-BE32-E72D297353CC}">
              <c16:uniqueId val="{00000001-684C-430D-9454-82EDACDDF774}"/>
            </c:ext>
          </c:extLst>
        </c:ser>
        <c:ser>
          <c:idx val="2"/>
          <c:order val="2"/>
          <c:tx>
            <c:strRef>
              <c:f>Sheet1!$D$1</c:f>
              <c:strCache>
                <c:ptCount val="1"/>
                <c:pt idx="0">
                  <c:v>C</c:v>
                </c:pt>
              </c:strCache>
            </c:strRef>
          </c:tx>
          <c:spPr>
            <a:solidFill>
              <a:schemeClr val="accent3"/>
            </a:solidFill>
            <a:ln>
              <a:noFill/>
            </a:ln>
            <a:effectLst/>
          </c:spPr>
          <c:invertIfNegative val="0"/>
          <c:cat>
            <c:strRef>
              <c:f>Sheet1!$A$2:$A$5</c:f>
              <c:strCache>
                <c:ptCount val="4"/>
                <c:pt idx="0">
                  <c:v>Netherlands</c:v>
                </c:pt>
                <c:pt idx="1">
                  <c:v>Austria</c:v>
                </c:pt>
                <c:pt idx="2">
                  <c:v>Belgium</c:v>
                </c:pt>
                <c:pt idx="3">
                  <c:v>Norway</c:v>
                </c:pt>
              </c:strCache>
            </c:strRef>
          </c:cat>
          <c:val>
            <c:numRef>
              <c:f>Sheet1!$D$2:$D$5</c:f>
              <c:numCache>
                <c:formatCode>General</c:formatCode>
                <c:ptCount val="4"/>
                <c:pt idx="0">
                  <c:v>10</c:v>
                </c:pt>
                <c:pt idx="1">
                  <c:v>20</c:v>
                </c:pt>
                <c:pt idx="2">
                  <c:v>25</c:v>
                </c:pt>
                <c:pt idx="3">
                  <c:v>30</c:v>
                </c:pt>
              </c:numCache>
            </c:numRef>
          </c:val>
          <c:extLst>
            <c:ext xmlns:c16="http://schemas.microsoft.com/office/drawing/2014/chart" uri="{C3380CC4-5D6E-409C-BE32-E72D297353CC}">
              <c16:uniqueId val="{00000002-684C-430D-9454-82EDACDDF774}"/>
            </c:ext>
          </c:extLst>
        </c:ser>
        <c:ser>
          <c:idx val="3"/>
          <c:order val="3"/>
          <c:tx>
            <c:strRef>
              <c:f>Sheet1!$E$1</c:f>
              <c:strCache>
                <c:ptCount val="1"/>
                <c:pt idx="0">
                  <c:v>D</c:v>
                </c:pt>
              </c:strCache>
            </c:strRef>
          </c:tx>
          <c:spPr>
            <a:solidFill>
              <a:schemeClr val="accent4"/>
            </a:solidFill>
            <a:ln>
              <a:noFill/>
            </a:ln>
            <a:effectLst/>
          </c:spPr>
          <c:invertIfNegative val="0"/>
          <c:cat>
            <c:strRef>
              <c:f>Sheet1!$A$2:$A$5</c:f>
              <c:strCache>
                <c:ptCount val="4"/>
                <c:pt idx="0">
                  <c:v>Netherlands</c:v>
                </c:pt>
                <c:pt idx="1">
                  <c:v>Austria</c:v>
                </c:pt>
                <c:pt idx="2">
                  <c:v>Belgium</c:v>
                </c:pt>
                <c:pt idx="3">
                  <c:v>Norway</c:v>
                </c:pt>
              </c:strCache>
            </c:strRef>
          </c:cat>
          <c:val>
            <c:numRef>
              <c:f>Sheet1!$E$2:$E$5</c:f>
              <c:numCache>
                <c:formatCode>General</c:formatCode>
                <c:ptCount val="4"/>
                <c:pt idx="0">
                  <c:v>30</c:v>
                </c:pt>
                <c:pt idx="1">
                  <c:v>30</c:v>
                </c:pt>
                <c:pt idx="2">
                  <c:v>50</c:v>
                </c:pt>
                <c:pt idx="3">
                  <c:v>35</c:v>
                </c:pt>
              </c:numCache>
            </c:numRef>
          </c:val>
          <c:extLst>
            <c:ext xmlns:c16="http://schemas.microsoft.com/office/drawing/2014/chart" uri="{C3380CC4-5D6E-409C-BE32-E72D297353CC}">
              <c16:uniqueId val="{00000003-684C-430D-9454-82EDACDDF774}"/>
            </c:ext>
          </c:extLst>
        </c:ser>
        <c:dLbls>
          <c:showLegendKey val="0"/>
          <c:showVal val="0"/>
          <c:showCatName val="0"/>
          <c:showSerName val="0"/>
          <c:showPercent val="0"/>
          <c:showBubbleSize val="0"/>
        </c:dLbls>
        <c:gapWidth val="150"/>
        <c:overlap val="100"/>
        <c:axId val="1933194624"/>
        <c:axId val="1890220160"/>
      </c:barChart>
      <c:catAx>
        <c:axId val="1933194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0220160"/>
        <c:crosses val="autoZero"/>
        <c:auto val="1"/>
        <c:lblAlgn val="ctr"/>
        <c:lblOffset val="100"/>
        <c:noMultiLvlLbl val="0"/>
      </c:catAx>
      <c:valAx>
        <c:axId val="1890220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Total Sales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319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Product Sales by Country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Sheet1!$B$1</c:f>
              <c:strCache>
                <c:ptCount val="1"/>
                <c:pt idx="0">
                  <c:v>A</c:v>
                </c:pt>
              </c:strCache>
            </c:strRef>
          </c:tx>
          <c:spPr>
            <a:solidFill>
              <a:schemeClr val="accent1"/>
            </a:solidFill>
            <a:ln>
              <a:noFill/>
            </a:ln>
            <a:effectLst/>
          </c:spPr>
          <c:invertIfNegative val="0"/>
          <c:cat>
            <c:strRef>
              <c:f>Sheet1!$A$2:$A$5</c:f>
              <c:strCache>
                <c:ptCount val="4"/>
                <c:pt idx="0">
                  <c:v>Netherlands</c:v>
                </c:pt>
                <c:pt idx="1">
                  <c:v>Austria</c:v>
                </c:pt>
                <c:pt idx="2">
                  <c:v>Belgium</c:v>
                </c:pt>
                <c:pt idx="3">
                  <c:v>Norway</c:v>
                </c:pt>
              </c:strCache>
            </c:strRef>
          </c:cat>
          <c:val>
            <c:numRef>
              <c:f>Sheet1!$B$2:$B$5</c:f>
              <c:numCache>
                <c:formatCode>General</c:formatCode>
                <c:ptCount val="4"/>
                <c:pt idx="0">
                  <c:v>20</c:v>
                </c:pt>
                <c:pt idx="1">
                  <c:v>35</c:v>
                </c:pt>
                <c:pt idx="2">
                  <c:v>16</c:v>
                </c:pt>
                <c:pt idx="3">
                  <c:v>42</c:v>
                </c:pt>
              </c:numCache>
            </c:numRef>
          </c:val>
          <c:extLst>
            <c:ext xmlns:c16="http://schemas.microsoft.com/office/drawing/2014/chart" uri="{C3380CC4-5D6E-409C-BE32-E72D297353CC}">
              <c16:uniqueId val="{00000000-B473-4B17-A1A0-3BB4D2107BE9}"/>
            </c:ext>
          </c:extLst>
        </c:ser>
        <c:ser>
          <c:idx val="1"/>
          <c:order val="1"/>
          <c:tx>
            <c:strRef>
              <c:f>Sheet1!$C$1</c:f>
              <c:strCache>
                <c:ptCount val="1"/>
                <c:pt idx="0">
                  <c:v>B</c:v>
                </c:pt>
              </c:strCache>
            </c:strRef>
          </c:tx>
          <c:spPr>
            <a:solidFill>
              <a:schemeClr val="accent2"/>
            </a:solidFill>
            <a:ln>
              <a:noFill/>
            </a:ln>
            <a:effectLst/>
          </c:spPr>
          <c:invertIfNegative val="0"/>
          <c:cat>
            <c:strRef>
              <c:f>Sheet1!$A$2:$A$5</c:f>
              <c:strCache>
                <c:ptCount val="4"/>
                <c:pt idx="0">
                  <c:v>Netherlands</c:v>
                </c:pt>
                <c:pt idx="1">
                  <c:v>Austria</c:v>
                </c:pt>
                <c:pt idx="2">
                  <c:v>Belgium</c:v>
                </c:pt>
                <c:pt idx="3">
                  <c:v>Norway</c:v>
                </c:pt>
              </c:strCache>
            </c:strRef>
          </c:cat>
          <c:val>
            <c:numRef>
              <c:f>Sheet1!$C$2:$C$5</c:f>
              <c:numCache>
                <c:formatCode>General</c:formatCode>
                <c:ptCount val="4"/>
                <c:pt idx="0">
                  <c:v>33</c:v>
                </c:pt>
                <c:pt idx="1">
                  <c:v>24</c:v>
                </c:pt>
                <c:pt idx="2">
                  <c:v>43</c:v>
                </c:pt>
                <c:pt idx="3">
                  <c:v>52</c:v>
                </c:pt>
              </c:numCache>
            </c:numRef>
          </c:val>
          <c:extLst>
            <c:ext xmlns:c16="http://schemas.microsoft.com/office/drawing/2014/chart" uri="{C3380CC4-5D6E-409C-BE32-E72D297353CC}">
              <c16:uniqueId val="{00000001-B473-4B17-A1A0-3BB4D2107BE9}"/>
            </c:ext>
          </c:extLst>
        </c:ser>
        <c:ser>
          <c:idx val="2"/>
          <c:order val="2"/>
          <c:tx>
            <c:strRef>
              <c:f>Sheet1!$D$1</c:f>
              <c:strCache>
                <c:ptCount val="1"/>
                <c:pt idx="0">
                  <c:v>C</c:v>
                </c:pt>
              </c:strCache>
            </c:strRef>
          </c:tx>
          <c:spPr>
            <a:solidFill>
              <a:schemeClr val="accent3"/>
            </a:solidFill>
            <a:ln>
              <a:noFill/>
            </a:ln>
            <a:effectLst/>
          </c:spPr>
          <c:invertIfNegative val="0"/>
          <c:cat>
            <c:strRef>
              <c:f>Sheet1!$A$2:$A$5</c:f>
              <c:strCache>
                <c:ptCount val="4"/>
                <c:pt idx="0">
                  <c:v>Netherlands</c:v>
                </c:pt>
                <c:pt idx="1">
                  <c:v>Austria</c:v>
                </c:pt>
                <c:pt idx="2">
                  <c:v>Belgium</c:v>
                </c:pt>
                <c:pt idx="3">
                  <c:v>Norway</c:v>
                </c:pt>
              </c:strCache>
            </c:strRef>
          </c:cat>
          <c:val>
            <c:numRef>
              <c:f>Sheet1!$D$2:$D$5</c:f>
              <c:numCache>
                <c:formatCode>General</c:formatCode>
                <c:ptCount val="4"/>
                <c:pt idx="0">
                  <c:v>10</c:v>
                </c:pt>
                <c:pt idx="1">
                  <c:v>20</c:v>
                </c:pt>
                <c:pt idx="2">
                  <c:v>25</c:v>
                </c:pt>
                <c:pt idx="3">
                  <c:v>30</c:v>
                </c:pt>
              </c:numCache>
            </c:numRef>
          </c:val>
          <c:extLst>
            <c:ext xmlns:c16="http://schemas.microsoft.com/office/drawing/2014/chart" uri="{C3380CC4-5D6E-409C-BE32-E72D297353CC}">
              <c16:uniqueId val="{00000002-B473-4B17-A1A0-3BB4D2107BE9}"/>
            </c:ext>
          </c:extLst>
        </c:ser>
        <c:ser>
          <c:idx val="3"/>
          <c:order val="3"/>
          <c:tx>
            <c:strRef>
              <c:f>Sheet1!$E$1</c:f>
              <c:strCache>
                <c:ptCount val="1"/>
                <c:pt idx="0">
                  <c:v>D</c:v>
                </c:pt>
              </c:strCache>
            </c:strRef>
          </c:tx>
          <c:spPr>
            <a:solidFill>
              <a:schemeClr val="accent4"/>
            </a:solidFill>
            <a:ln>
              <a:noFill/>
            </a:ln>
            <a:effectLst/>
          </c:spPr>
          <c:invertIfNegative val="0"/>
          <c:cat>
            <c:strRef>
              <c:f>Sheet1!$A$2:$A$5</c:f>
              <c:strCache>
                <c:ptCount val="4"/>
                <c:pt idx="0">
                  <c:v>Netherlands</c:v>
                </c:pt>
                <c:pt idx="1">
                  <c:v>Austria</c:v>
                </c:pt>
                <c:pt idx="2">
                  <c:v>Belgium</c:v>
                </c:pt>
                <c:pt idx="3">
                  <c:v>Norway</c:v>
                </c:pt>
              </c:strCache>
            </c:strRef>
          </c:cat>
          <c:val>
            <c:numRef>
              <c:f>Sheet1!$E$2:$E$5</c:f>
              <c:numCache>
                <c:formatCode>General</c:formatCode>
                <c:ptCount val="4"/>
                <c:pt idx="0">
                  <c:v>30</c:v>
                </c:pt>
                <c:pt idx="1">
                  <c:v>30</c:v>
                </c:pt>
                <c:pt idx="2">
                  <c:v>50</c:v>
                </c:pt>
                <c:pt idx="3">
                  <c:v>35</c:v>
                </c:pt>
              </c:numCache>
            </c:numRef>
          </c:val>
          <c:extLst>
            <c:ext xmlns:c16="http://schemas.microsoft.com/office/drawing/2014/chart" uri="{C3380CC4-5D6E-409C-BE32-E72D297353CC}">
              <c16:uniqueId val="{00000003-B473-4B17-A1A0-3BB4D2107BE9}"/>
            </c:ext>
          </c:extLst>
        </c:ser>
        <c:dLbls>
          <c:showLegendKey val="0"/>
          <c:showVal val="0"/>
          <c:showCatName val="0"/>
          <c:showSerName val="0"/>
          <c:showPercent val="0"/>
          <c:showBubbleSize val="0"/>
        </c:dLbls>
        <c:gapWidth val="150"/>
        <c:overlap val="100"/>
        <c:axId val="1933194624"/>
        <c:axId val="1890220160"/>
      </c:barChart>
      <c:catAx>
        <c:axId val="1933194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0220160"/>
        <c:crosses val="autoZero"/>
        <c:auto val="1"/>
        <c:lblAlgn val="ctr"/>
        <c:lblOffset val="100"/>
        <c:noMultiLvlLbl val="0"/>
      </c:catAx>
      <c:valAx>
        <c:axId val="1890220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319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Product</a:t>
            </a:r>
            <a:r>
              <a:rPr lang="en-CA" baseline="0"/>
              <a:t> Sales by Country</a:t>
            </a:r>
            <a:endParaRPr lang="en-C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Sheet1!$B$48</c:f>
              <c:strCache>
                <c:ptCount val="1"/>
                <c:pt idx="0">
                  <c:v>A</c:v>
                </c:pt>
              </c:strCache>
            </c:strRef>
          </c:tx>
          <c:spPr>
            <a:solidFill>
              <a:schemeClr val="accent1"/>
            </a:solidFill>
            <a:ln>
              <a:noFill/>
            </a:ln>
            <a:effectLst/>
          </c:spPr>
          <c:invertIfNegative val="0"/>
          <c:cat>
            <c:strRef>
              <c:f>Sheet1!$A$49:$A$52</c:f>
              <c:strCache>
                <c:ptCount val="4"/>
                <c:pt idx="0">
                  <c:v>Netherlands</c:v>
                </c:pt>
                <c:pt idx="1">
                  <c:v>Austria</c:v>
                </c:pt>
                <c:pt idx="2">
                  <c:v>Belgium</c:v>
                </c:pt>
                <c:pt idx="3">
                  <c:v>Norway</c:v>
                </c:pt>
              </c:strCache>
            </c:strRef>
          </c:cat>
          <c:val>
            <c:numRef>
              <c:f>Sheet1!$B$49:$B$52</c:f>
              <c:numCache>
                <c:formatCode>0%</c:formatCode>
                <c:ptCount val="4"/>
                <c:pt idx="0">
                  <c:v>0.21505376344086022</c:v>
                </c:pt>
                <c:pt idx="1">
                  <c:v>0.32110091743119268</c:v>
                </c:pt>
                <c:pt idx="2">
                  <c:v>0.11940298507462686</c:v>
                </c:pt>
                <c:pt idx="3">
                  <c:v>0.26415094339622641</c:v>
                </c:pt>
              </c:numCache>
            </c:numRef>
          </c:val>
          <c:extLst>
            <c:ext xmlns:c16="http://schemas.microsoft.com/office/drawing/2014/chart" uri="{C3380CC4-5D6E-409C-BE32-E72D297353CC}">
              <c16:uniqueId val="{00000000-2CE2-4DBE-8896-5F76FA22668C}"/>
            </c:ext>
          </c:extLst>
        </c:ser>
        <c:ser>
          <c:idx val="1"/>
          <c:order val="1"/>
          <c:tx>
            <c:strRef>
              <c:f>Sheet1!$C$48</c:f>
              <c:strCache>
                <c:ptCount val="1"/>
                <c:pt idx="0">
                  <c:v>B</c:v>
                </c:pt>
              </c:strCache>
            </c:strRef>
          </c:tx>
          <c:spPr>
            <a:solidFill>
              <a:schemeClr val="accent2"/>
            </a:solidFill>
            <a:ln>
              <a:noFill/>
            </a:ln>
            <a:effectLst/>
          </c:spPr>
          <c:invertIfNegative val="0"/>
          <c:cat>
            <c:strRef>
              <c:f>Sheet1!$A$49:$A$52</c:f>
              <c:strCache>
                <c:ptCount val="4"/>
                <c:pt idx="0">
                  <c:v>Netherlands</c:v>
                </c:pt>
                <c:pt idx="1">
                  <c:v>Austria</c:v>
                </c:pt>
                <c:pt idx="2">
                  <c:v>Belgium</c:v>
                </c:pt>
                <c:pt idx="3">
                  <c:v>Norway</c:v>
                </c:pt>
              </c:strCache>
            </c:strRef>
          </c:cat>
          <c:val>
            <c:numRef>
              <c:f>Sheet1!$C$49:$C$52</c:f>
              <c:numCache>
                <c:formatCode>0%</c:formatCode>
                <c:ptCount val="4"/>
                <c:pt idx="0">
                  <c:v>0.35483870967741937</c:v>
                </c:pt>
                <c:pt idx="1">
                  <c:v>0.22018348623853212</c:v>
                </c:pt>
                <c:pt idx="2">
                  <c:v>0.32089552238805968</c:v>
                </c:pt>
                <c:pt idx="3">
                  <c:v>0.32704402515723269</c:v>
                </c:pt>
              </c:numCache>
            </c:numRef>
          </c:val>
          <c:extLst>
            <c:ext xmlns:c16="http://schemas.microsoft.com/office/drawing/2014/chart" uri="{C3380CC4-5D6E-409C-BE32-E72D297353CC}">
              <c16:uniqueId val="{00000001-2CE2-4DBE-8896-5F76FA22668C}"/>
            </c:ext>
          </c:extLst>
        </c:ser>
        <c:ser>
          <c:idx val="2"/>
          <c:order val="2"/>
          <c:tx>
            <c:strRef>
              <c:f>Sheet1!$D$48</c:f>
              <c:strCache>
                <c:ptCount val="1"/>
                <c:pt idx="0">
                  <c:v>C</c:v>
                </c:pt>
              </c:strCache>
            </c:strRef>
          </c:tx>
          <c:spPr>
            <a:solidFill>
              <a:schemeClr val="accent3"/>
            </a:solidFill>
            <a:ln>
              <a:noFill/>
            </a:ln>
            <a:effectLst/>
          </c:spPr>
          <c:invertIfNegative val="0"/>
          <c:cat>
            <c:strRef>
              <c:f>Sheet1!$A$49:$A$52</c:f>
              <c:strCache>
                <c:ptCount val="4"/>
                <c:pt idx="0">
                  <c:v>Netherlands</c:v>
                </c:pt>
                <c:pt idx="1">
                  <c:v>Austria</c:v>
                </c:pt>
                <c:pt idx="2">
                  <c:v>Belgium</c:v>
                </c:pt>
                <c:pt idx="3">
                  <c:v>Norway</c:v>
                </c:pt>
              </c:strCache>
            </c:strRef>
          </c:cat>
          <c:val>
            <c:numRef>
              <c:f>Sheet1!$D$49:$D$52</c:f>
              <c:numCache>
                <c:formatCode>0%</c:formatCode>
                <c:ptCount val="4"/>
                <c:pt idx="0">
                  <c:v>0.10752688172043011</c:v>
                </c:pt>
                <c:pt idx="1">
                  <c:v>0.1834862385321101</c:v>
                </c:pt>
                <c:pt idx="2">
                  <c:v>0.18656716417910449</c:v>
                </c:pt>
                <c:pt idx="3">
                  <c:v>0.18867924528301888</c:v>
                </c:pt>
              </c:numCache>
            </c:numRef>
          </c:val>
          <c:extLst>
            <c:ext xmlns:c16="http://schemas.microsoft.com/office/drawing/2014/chart" uri="{C3380CC4-5D6E-409C-BE32-E72D297353CC}">
              <c16:uniqueId val="{00000002-2CE2-4DBE-8896-5F76FA22668C}"/>
            </c:ext>
          </c:extLst>
        </c:ser>
        <c:ser>
          <c:idx val="3"/>
          <c:order val="3"/>
          <c:tx>
            <c:strRef>
              <c:f>Sheet1!$E$48</c:f>
              <c:strCache>
                <c:ptCount val="1"/>
                <c:pt idx="0">
                  <c:v>D</c:v>
                </c:pt>
              </c:strCache>
            </c:strRef>
          </c:tx>
          <c:spPr>
            <a:solidFill>
              <a:schemeClr val="accent4"/>
            </a:solidFill>
            <a:ln>
              <a:noFill/>
            </a:ln>
            <a:effectLst/>
          </c:spPr>
          <c:invertIfNegative val="0"/>
          <c:cat>
            <c:strRef>
              <c:f>Sheet1!$A$49:$A$52</c:f>
              <c:strCache>
                <c:ptCount val="4"/>
                <c:pt idx="0">
                  <c:v>Netherlands</c:v>
                </c:pt>
                <c:pt idx="1">
                  <c:v>Austria</c:v>
                </c:pt>
                <c:pt idx="2">
                  <c:v>Belgium</c:v>
                </c:pt>
                <c:pt idx="3">
                  <c:v>Norway</c:v>
                </c:pt>
              </c:strCache>
            </c:strRef>
          </c:cat>
          <c:val>
            <c:numRef>
              <c:f>Sheet1!$E$49:$E$52</c:f>
              <c:numCache>
                <c:formatCode>0%</c:formatCode>
                <c:ptCount val="4"/>
                <c:pt idx="0">
                  <c:v>0.32258064516129031</c:v>
                </c:pt>
                <c:pt idx="1">
                  <c:v>0.27522935779816515</c:v>
                </c:pt>
                <c:pt idx="2">
                  <c:v>0.37313432835820898</c:v>
                </c:pt>
                <c:pt idx="3">
                  <c:v>0.22012578616352202</c:v>
                </c:pt>
              </c:numCache>
            </c:numRef>
          </c:val>
          <c:extLst>
            <c:ext xmlns:c16="http://schemas.microsoft.com/office/drawing/2014/chart" uri="{C3380CC4-5D6E-409C-BE32-E72D297353CC}">
              <c16:uniqueId val="{00000003-2CE2-4DBE-8896-5F76FA22668C}"/>
            </c:ext>
          </c:extLst>
        </c:ser>
        <c:dLbls>
          <c:showLegendKey val="0"/>
          <c:showVal val="0"/>
          <c:showCatName val="0"/>
          <c:showSerName val="0"/>
          <c:showPercent val="0"/>
          <c:showBubbleSize val="0"/>
        </c:dLbls>
        <c:gapWidth val="219"/>
        <c:overlap val="-27"/>
        <c:axId val="1957313616"/>
        <c:axId val="1750639728"/>
      </c:barChart>
      <c:catAx>
        <c:axId val="195731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639728"/>
        <c:crosses val="autoZero"/>
        <c:auto val="1"/>
        <c:lblAlgn val="ctr"/>
        <c:lblOffset val="100"/>
        <c:noMultiLvlLbl val="0"/>
      </c:catAx>
      <c:valAx>
        <c:axId val="1750639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 of Country Sales</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7313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[Credit assignment 3.xlsx]Q4!PivotTable19</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Card Holder Income by Credit Risk</a:t>
            </a:r>
            <a:r>
              <a:rPr lang="en-CA" baseline="0"/>
              <a:t> Group</a:t>
            </a:r>
            <a:endParaRPr lang="en-C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s>
    <c:plotArea>
      <c:layout/>
      <c:barChart>
        <c:barDir val="col"/>
        <c:grouping val="clustered"/>
        <c:varyColors val="0"/>
        <c:ser>
          <c:idx val="0"/>
          <c:order val="0"/>
          <c:tx>
            <c:strRef>
              <c:f>'Q4'!$B$3:$B$4</c:f>
              <c:strCache>
                <c:ptCount val="1"/>
                <c:pt idx="0">
                  <c:v>High</c:v>
                </c:pt>
              </c:strCache>
            </c:strRef>
          </c:tx>
          <c:spPr>
            <a:solidFill>
              <a:schemeClr val="accent1"/>
            </a:solidFill>
            <a:ln>
              <a:noFill/>
            </a:ln>
            <a:effectLst/>
          </c:spPr>
          <c:invertIfNegative val="0"/>
          <c:cat>
            <c:strRef>
              <c:f>'Q4'!$A$5:$A$25</c:f>
              <c:strCache>
                <c:ptCount val="20"/>
                <c:pt idx="0">
                  <c:v>1-100</c:v>
                </c:pt>
                <c:pt idx="1">
                  <c:v>101-200</c:v>
                </c:pt>
                <c:pt idx="2">
                  <c:v>201-300</c:v>
                </c:pt>
                <c:pt idx="3">
                  <c:v>301-400</c:v>
                </c:pt>
                <c:pt idx="4">
                  <c:v>401-500</c:v>
                </c:pt>
                <c:pt idx="5">
                  <c:v>501-600</c:v>
                </c:pt>
                <c:pt idx="6">
                  <c:v>601-700</c:v>
                </c:pt>
                <c:pt idx="7">
                  <c:v>701-800</c:v>
                </c:pt>
                <c:pt idx="8">
                  <c:v>801-900</c:v>
                </c:pt>
                <c:pt idx="9">
                  <c:v>901-1000</c:v>
                </c:pt>
                <c:pt idx="10">
                  <c:v>1001-1100</c:v>
                </c:pt>
                <c:pt idx="11">
                  <c:v>1101-1200</c:v>
                </c:pt>
                <c:pt idx="12">
                  <c:v>1201-1300</c:v>
                </c:pt>
                <c:pt idx="13">
                  <c:v>1301-1400</c:v>
                </c:pt>
                <c:pt idx="14">
                  <c:v>1401-1500</c:v>
                </c:pt>
                <c:pt idx="15">
                  <c:v>1501-1600</c:v>
                </c:pt>
                <c:pt idx="16">
                  <c:v>1601-1700</c:v>
                </c:pt>
                <c:pt idx="17">
                  <c:v>1701-1800</c:v>
                </c:pt>
                <c:pt idx="18">
                  <c:v>1801-1900</c:v>
                </c:pt>
                <c:pt idx="19">
                  <c:v>1901-2000</c:v>
                </c:pt>
              </c:strCache>
            </c:strRef>
          </c:cat>
          <c:val>
            <c:numRef>
              <c:f>'Q4'!$B$5:$B$25</c:f>
              <c:numCache>
                <c:formatCode>General</c:formatCode>
                <c:ptCount val="20"/>
                <c:pt idx="0">
                  <c:v>14</c:v>
                </c:pt>
                <c:pt idx="1">
                  <c:v>21</c:v>
                </c:pt>
                <c:pt idx="2">
                  <c:v>13</c:v>
                </c:pt>
                <c:pt idx="3">
                  <c:v>9</c:v>
                </c:pt>
                <c:pt idx="4">
                  <c:v>12</c:v>
                </c:pt>
                <c:pt idx="5">
                  <c:v>1</c:v>
                </c:pt>
                <c:pt idx="6">
                  <c:v>1</c:v>
                </c:pt>
                <c:pt idx="7">
                  <c:v>1</c:v>
                </c:pt>
                <c:pt idx="8">
                  <c:v>2</c:v>
                </c:pt>
              </c:numCache>
            </c:numRef>
          </c:val>
          <c:extLst>
            <c:ext xmlns:c16="http://schemas.microsoft.com/office/drawing/2014/chart" uri="{C3380CC4-5D6E-409C-BE32-E72D297353CC}">
              <c16:uniqueId val="{00000000-5294-461A-8E79-993AF85F07D5}"/>
            </c:ext>
          </c:extLst>
        </c:ser>
        <c:ser>
          <c:idx val="1"/>
          <c:order val="1"/>
          <c:tx>
            <c:strRef>
              <c:f>'Q4'!$C$3:$C$4</c:f>
              <c:strCache>
                <c:ptCount val="1"/>
                <c:pt idx="0">
                  <c:v>Low</c:v>
                </c:pt>
              </c:strCache>
            </c:strRef>
          </c:tx>
          <c:spPr>
            <a:solidFill>
              <a:schemeClr val="accent2"/>
            </a:solidFill>
            <a:ln>
              <a:noFill/>
            </a:ln>
            <a:effectLst/>
          </c:spPr>
          <c:invertIfNegative val="0"/>
          <c:cat>
            <c:strRef>
              <c:f>'Q4'!$A$5:$A$25</c:f>
              <c:strCache>
                <c:ptCount val="20"/>
                <c:pt idx="0">
                  <c:v>1-100</c:v>
                </c:pt>
                <c:pt idx="1">
                  <c:v>101-200</c:v>
                </c:pt>
                <c:pt idx="2">
                  <c:v>201-300</c:v>
                </c:pt>
                <c:pt idx="3">
                  <c:v>301-400</c:v>
                </c:pt>
                <c:pt idx="4">
                  <c:v>401-500</c:v>
                </c:pt>
                <c:pt idx="5">
                  <c:v>501-600</c:v>
                </c:pt>
                <c:pt idx="6">
                  <c:v>601-700</c:v>
                </c:pt>
                <c:pt idx="7">
                  <c:v>701-800</c:v>
                </c:pt>
                <c:pt idx="8">
                  <c:v>801-900</c:v>
                </c:pt>
                <c:pt idx="9">
                  <c:v>901-1000</c:v>
                </c:pt>
                <c:pt idx="10">
                  <c:v>1001-1100</c:v>
                </c:pt>
                <c:pt idx="11">
                  <c:v>1101-1200</c:v>
                </c:pt>
                <c:pt idx="12">
                  <c:v>1201-1300</c:v>
                </c:pt>
                <c:pt idx="13">
                  <c:v>1301-1400</c:v>
                </c:pt>
                <c:pt idx="14">
                  <c:v>1401-1500</c:v>
                </c:pt>
                <c:pt idx="15">
                  <c:v>1501-1600</c:v>
                </c:pt>
                <c:pt idx="16">
                  <c:v>1601-1700</c:v>
                </c:pt>
                <c:pt idx="17">
                  <c:v>1701-1800</c:v>
                </c:pt>
                <c:pt idx="18">
                  <c:v>1801-1900</c:v>
                </c:pt>
                <c:pt idx="19">
                  <c:v>1901-2000</c:v>
                </c:pt>
              </c:strCache>
            </c:strRef>
          </c:cat>
          <c:val>
            <c:numRef>
              <c:f>'Q4'!$C$5:$C$25</c:f>
              <c:numCache>
                <c:formatCode>General</c:formatCode>
                <c:ptCount val="20"/>
                <c:pt idx="2">
                  <c:v>1</c:v>
                </c:pt>
                <c:pt idx="4">
                  <c:v>1</c:v>
                </c:pt>
                <c:pt idx="5">
                  <c:v>4</c:v>
                </c:pt>
                <c:pt idx="6">
                  <c:v>2</c:v>
                </c:pt>
                <c:pt idx="7">
                  <c:v>4</c:v>
                </c:pt>
                <c:pt idx="8">
                  <c:v>5</c:v>
                </c:pt>
                <c:pt idx="9">
                  <c:v>5</c:v>
                </c:pt>
                <c:pt idx="10">
                  <c:v>8</c:v>
                </c:pt>
                <c:pt idx="11">
                  <c:v>8</c:v>
                </c:pt>
                <c:pt idx="12">
                  <c:v>7</c:v>
                </c:pt>
                <c:pt idx="13">
                  <c:v>7</c:v>
                </c:pt>
                <c:pt idx="14">
                  <c:v>4</c:v>
                </c:pt>
                <c:pt idx="15">
                  <c:v>3</c:v>
                </c:pt>
                <c:pt idx="16">
                  <c:v>2</c:v>
                </c:pt>
                <c:pt idx="17">
                  <c:v>1</c:v>
                </c:pt>
                <c:pt idx="18">
                  <c:v>1</c:v>
                </c:pt>
                <c:pt idx="19">
                  <c:v>1</c:v>
                </c:pt>
              </c:numCache>
            </c:numRef>
          </c:val>
          <c:extLst>
            <c:ext xmlns:c16="http://schemas.microsoft.com/office/drawing/2014/chart" uri="{C3380CC4-5D6E-409C-BE32-E72D297353CC}">
              <c16:uniqueId val="{00000001-5294-461A-8E79-993AF85F07D5}"/>
            </c:ext>
          </c:extLst>
        </c:ser>
        <c:ser>
          <c:idx val="2"/>
          <c:order val="2"/>
          <c:tx>
            <c:strRef>
              <c:f>'Q4'!$D$3:$D$4</c:f>
              <c:strCache>
                <c:ptCount val="1"/>
                <c:pt idx="0">
                  <c:v>Medium</c:v>
                </c:pt>
              </c:strCache>
            </c:strRef>
          </c:tx>
          <c:spPr>
            <a:solidFill>
              <a:schemeClr val="accent3"/>
            </a:solidFill>
            <a:ln>
              <a:noFill/>
            </a:ln>
            <a:effectLst/>
          </c:spPr>
          <c:invertIfNegative val="0"/>
          <c:cat>
            <c:strRef>
              <c:f>'Q4'!$A$5:$A$25</c:f>
              <c:strCache>
                <c:ptCount val="20"/>
                <c:pt idx="0">
                  <c:v>1-100</c:v>
                </c:pt>
                <c:pt idx="1">
                  <c:v>101-200</c:v>
                </c:pt>
                <c:pt idx="2">
                  <c:v>201-300</c:v>
                </c:pt>
                <c:pt idx="3">
                  <c:v>301-400</c:v>
                </c:pt>
                <c:pt idx="4">
                  <c:v>401-500</c:v>
                </c:pt>
                <c:pt idx="5">
                  <c:v>501-600</c:v>
                </c:pt>
                <c:pt idx="6">
                  <c:v>601-700</c:v>
                </c:pt>
                <c:pt idx="7">
                  <c:v>701-800</c:v>
                </c:pt>
                <c:pt idx="8">
                  <c:v>801-900</c:v>
                </c:pt>
                <c:pt idx="9">
                  <c:v>901-1000</c:v>
                </c:pt>
                <c:pt idx="10">
                  <c:v>1001-1100</c:v>
                </c:pt>
                <c:pt idx="11">
                  <c:v>1101-1200</c:v>
                </c:pt>
                <c:pt idx="12">
                  <c:v>1201-1300</c:v>
                </c:pt>
                <c:pt idx="13">
                  <c:v>1301-1400</c:v>
                </c:pt>
                <c:pt idx="14">
                  <c:v>1401-1500</c:v>
                </c:pt>
                <c:pt idx="15">
                  <c:v>1501-1600</c:v>
                </c:pt>
                <c:pt idx="16">
                  <c:v>1601-1700</c:v>
                </c:pt>
                <c:pt idx="17">
                  <c:v>1701-1800</c:v>
                </c:pt>
                <c:pt idx="18">
                  <c:v>1801-1900</c:v>
                </c:pt>
                <c:pt idx="19">
                  <c:v>1901-2000</c:v>
                </c:pt>
              </c:strCache>
            </c:strRef>
          </c:cat>
          <c:val>
            <c:numRef>
              <c:f>'Q4'!$D$5:$D$25</c:f>
              <c:numCache>
                <c:formatCode>General</c:formatCode>
                <c:ptCount val="20"/>
                <c:pt idx="0">
                  <c:v>4</c:v>
                </c:pt>
                <c:pt idx="1">
                  <c:v>9</c:v>
                </c:pt>
                <c:pt idx="2">
                  <c:v>8</c:v>
                </c:pt>
                <c:pt idx="3">
                  <c:v>14</c:v>
                </c:pt>
                <c:pt idx="4">
                  <c:v>13</c:v>
                </c:pt>
                <c:pt idx="5">
                  <c:v>22</c:v>
                </c:pt>
                <c:pt idx="6">
                  <c:v>22</c:v>
                </c:pt>
                <c:pt idx="7">
                  <c:v>17</c:v>
                </c:pt>
                <c:pt idx="8">
                  <c:v>17</c:v>
                </c:pt>
                <c:pt idx="9">
                  <c:v>20</c:v>
                </c:pt>
                <c:pt idx="10">
                  <c:v>13</c:v>
                </c:pt>
                <c:pt idx="11">
                  <c:v>2</c:v>
                </c:pt>
                <c:pt idx="12">
                  <c:v>4</c:v>
                </c:pt>
                <c:pt idx="13">
                  <c:v>3</c:v>
                </c:pt>
                <c:pt idx="14">
                  <c:v>3</c:v>
                </c:pt>
                <c:pt idx="15">
                  <c:v>1</c:v>
                </c:pt>
              </c:numCache>
            </c:numRef>
          </c:val>
          <c:extLst>
            <c:ext xmlns:c16="http://schemas.microsoft.com/office/drawing/2014/chart" uri="{C3380CC4-5D6E-409C-BE32-E72D297353CC}">
              <c16:uniqueId val="{00000002-5294-461A-8E79-993AF85F07D5}"/>
            </c:ext>
          </c:extLst>
        </c:ser>
        <c:dLbls>
          <c:showLegendKey val="0"/>
          <c:showVal val="0"/>
          <c:showCatName val="0"/>
          <c:showSerName val="0"/>
          <c:showPercent val="0"/>
          <c:showBubbleSize val="0"/>
        </c:dLbls>
        <c:gapWidth val="0"/>
        <c:overlap val="-27"/>
        <c:axId val="2055324656"/>
        <c:axId val="2057371648"/>
      </c:barChart>
      <c:catAx>
        <c:axId val="205532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7371648"/>
        <c:crosses val="autoZero"/>
        <c:auto val="1"/>
        <c:lblAlgn val="ctr"/>
        <c:lblOffset val="100"/>
        <c:noMultiLvlLbl val="0"/>
      </c:catAx>
      <c:valAx>
        <c:axId val="2057371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count of </a:t>
                </a:r>
              </a:p>
              <a:p>
                <a:pPr>
                  <a:defRPr/>
                </a:pPr>
                <a:r>
                  <a:rPr lang="en-CA"/>
                  <a:t>cardholders</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53246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[Credit assignment 3.xlsx]Q4!PivotTable19</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Card Holder Income by Credit Risk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s>
    <c:plotArea>
      <c:layout/>
      <c:barChart>
        <c:barDir val="col"/>
        <c:grouping val="clustered"/>
        <c:varyColors val="0"/>
        <c:ser>
          <c:idx val="0"/>
          <c:order val="0"/>
          <c:tx>
            <c:strRef>
              <c:f>'Q4'!$B$3:$B$4</c:f>
              <c:strCache>
                <c:ptCount val="1"/>
                <c:pt idx="0">
                  <c:v>High</c:v>
                </c:pt>
              </c:strCache>
            </c:strRef>
          </c:tx>
          <c:spPr>
            <a:solidFill>
              <a:schemeClr val="accent1"/>
            </a:solidFill>
            <a:ln>
              <a:noFill/>
            </a:ln>
            <a:effectLst/>
          </c:spPr>
          <c:invertIfNegative val="0"/>
          <c:cat>
            <c:strRef>
              <c:f>'Q4'!$A$5:$A$25</c:f>
              <c:strCache>
                <c:ptCount val="20"/>
                <c:pt idx="0">
                  <c:v>1-100</c:v>
                </c:pt>
                <c:pt idx="1">
                  <c:v>101-200</c:v>
                </c:pt>
                <c:pt idx="2">
                  <c:v>201-300</c:v>
                </c:pt>
                <c:pt idx="3">
                  <c:v>301-400</c:v>
                </c:pt>
                <c:pt idx="4">
                  <c:v>401-500</c:v>
                </c:pt>
                <c:pt idx="5">
                  <c:v>501-600</c:v>
                </c:pt>
                <c:pt idx="6">
                  <c:v>601-700</c:v>
                </c:pt>
                <c:pt idx="7">
                  <c:v>701-800</c:v>
                </c:pt>
                <c:pt idx="8">
                  <c:v>801-900</c:v>
                </c:pt>
                <c:pt idx="9">
                  <c:v>901-1000</c:v>
                </c:pt>
                <c:pt idx="10">
                  <c:v>1001-1100</c:v>
                </c:pt>
                <c:pt idx="11">
                  <c:v>1101-1200</c:v>
                </c:pt>
                <c:pt idx="12">
                  <c:v>1201-1300</c:v>
                </c:pt>
                <c:pt idx="13">
                  <c:v>1301-1400</c:v>
                </c:pt>
                <c:pt idx="14">
                  <c:v>1401-1500</c:v>
                </c:pt>
                <c:pt idx="15">
                  <c:v>1501-1600</c:v>
                </c:pt>
                <c:pt idx="16">
                  <c:v>1601-1700</c:v>
                </c:pt>
                <c:pt idx="17">
                  <c:v>1701-1800</c:v>
                </c:pt>
                <c:pt idx="18">
                  <c:v>1801-1900</c:v>
                </c:pt>
                <c:pt idx="19">
                  <c:v>1901-2000</c:v>
                </c:pt>
              </c:strCache>
            </c:strRef>
          </c:cat>
          <c:val>
            <c:numRef>
              <c:f>'Q4'!$B$5:$B$25</c:f>
              <c:numCache>
                <c:formatCode>0.00%</c:formatCode>
                <c:ptCount val="20"/>
                <c:pt idx="0">
                  <c:v>0.1891891891891892</c:v>
                </c:pt>
                <c:pt idx="1">
                  <c:v>0.28378378378378377</c:v>
                </c:pt>
                <c:pt idx="2">
                  <c:v>0.17567567567567569</c:v>
                </c:pt>
                <c:pt idx="3">
                  <c:v>0.12162162162162163</c:v>
                </c:pt>
                <c:pt idx="4">
                  <c:v>0.16216216216216217</c:v>
                </c:pt>
                <c:pt idx="5">
                  <c:v>1.3513513513513514E-2</c:v>
                </c:pt>
                <c:pt idx="6">
                  <c:v>1.3513513513513514E-2</c:v>
                </c:pt>
                <c:pt idx="7">
                  <c:v>1.3513513513513514E-2</c:v>
                </c:pt>
                <c:pt idx="8">
                  <c:v>2.7027027027027029E-2</c:v>
                </c:pt>
                <c:pt idx="9">
                  <c:v>0</c:v>
                </c:pt>
                <c:pt idx="10">
                  <c:v>0</c:v>
                </c:pt>
                <c:pt idx="11">
                  <c:v>0</c:v>
                </c:pt>
                <c:pt idx="12">
                  <c:v>0</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0-84F3-418E-94BF-E86195B5D1B2}"/>
            </c:ext>
          </c:extLst>
        </c:ser>
        <c:ser>
          <c:idx val="1"/>
          <c:order val="1"/>
          <c:tx>
            <c:strRef>
              <c:f>'Q4'!$C$3:$C$4</c:f>
              <c:strCache>
                <c:ptCount val="1"/>
                <c:pt idx="0">
                  <c:v>Low</c:v>
                </c:pt>
              </c:strCache>
            </c:strRef>
          </c:tx>
          <c:spPr>
            <a:solidFill>
              <a:schemeClr val="accent2"/>
            </a:solidFill>
            <a:ln>
              <a:noFill/>
            </a:ln>
            <a:effectLst/>
          </c:spPr>
          <c:invertIfNegative val="0"/>
          <c:cat>
            <c:strRef>
              <c:f>'Q4'!$A$5:$A$25</c:f>
              <c:strCache>
                <c:ptCount val="20"/>
                <c:pt idx="0">
                  <c:v>1-100</c:v>
                </c:pt>
                <c:pt idx="1">
                  <c:v>101-200</c:v>
                </c:pt>
                <c:pt idx="2">
                  <c:v>201-300</c:v>
                </c:pt>
                <c:pt idx="3">
                  <c:v>301-400</c:v>
                </c:pt>
                <c:pt idx="4">
                  <c:v>401-500</c:v>
                </c:pt>
                <c:pt idx="5">
                  <c:v>501-600</c:v>
                </c:pt>
                <c:pt idx="6">
                  <c:v>601-700</c:v>
                </c:pt>
                <c:pt idx="7">
                  <c:v>701-800</c:v>
                </c:pt>
                <c:pt idx="8">
                  <c:v>801-900</c:v>
                </c:pt>
                <c:pt idx="9">
                  <c:v>901-1000</c:v>
                </c:pt>
                <c:pt idx="10">
                  <c:v>1001-1100</c:v>
                </c:pt>
                <c:pt idx="11">
                  <c:v>1101-1200</c:v>
                </c:pt>
                <c:pt idx="12">
                  <c:v>1201-1300</c:v>
                </c:pt>
                <c:pt idx="13">
                  <c:v>1301-1400</c:v>
                </c:pt>
                <c:pt idx="14">
                  <c:v>1401-1500</c:v>
                </c:pt>
                <c:pt idx="15">
                  <c:v>1501-1600</c:v>
                </c:pt>
                <c:pt idx="16">
                  <c:v>1601-1700</c:v>
                </c:pt>
                <c:pt idx="17">
                  <c:v>1701-1800</c:v>
                </c:pt>
                <c:pt idx="18">
                  <c:v>1801-1900</c:v>
                </c:pt>
                <c:pt idx="19">
                  <c:v>1901-2000</c:v>
                </c:pt>
              </c:strCache>
            </c:strRef>
          </c:cat>
          <c:val>
            <c:numRef>
              <c:f>'Q4'!$C$5:$C$25</c:f>
              <c:numCache>
                <c:formatCode>0.00%</c:formatCode>
                <c:ptCount val="20"/>
                <c:pt idx="0">
                  <c:v>0</c:v>
                </c:pt>
                <c:pt idx="1">
                  <c:v>0</c:v>
                </c:pt>
                <c:pt idx="2">
                  <c:v>1.5625E-2</c:v>
                </c:pt>
                <c:pt idx="3">
                  <c:v>0</c:v>
                </c:pt>
                <c:pt idx="4">
                  <c:v>1.5625E-2</c:v>
                </c:pt>
                <c:pt idx="5">
                  <c:v>6.25E-2</c:v>
                </c:pt>
                <c:pt idx="6">
                  <c:v>3.125E-2</c:v>
                </c:pt>
                <c:pt idx="7">
                  <c:v>6.25E-2</c:v>
                </c:pt>
                <c:pt idx="8">
                  <c:v>7.8125E-2</c:v>
                </c:pt>
                <c:pt idx="9">
                  <c:v>7.8125E-2</c:v>
                </c:pt>
                <c:pt idx="10">
                  <c:v>0.125</c:v>
                </c:pt>
                <c:pt idx="11">
                  <c:v>0.125</c:v>
                </c:pt>
                <c:pt idx="12">
                  <c:v>0.109375</c:v>
                </c:pt>
                <c:pt idx="13">
                  <c:v>0.109375</c:v>
                </c:pt>
                <c:pt idx="14">
                  <c:v>6.25E-2</c:v>
                </c:pt>
                <c:pt idx="15">
                  <c:v>4.6875E-2</c:v>
                </c:pt>
                <c:pt idx="16">
                  <c:v>3.125E-2</c:v>
                </c:pt>
                <c:pt idx="17">
                  <c:v>1.5625E-2</c:v>
                </c:pt>
                <c:pt idx="18">
                  <c:v>1.5625E-2</c:v>
                </c:pt>
                <c:pt idx="19">
                  <c:v>1.5625E-2</c:v>
                </c:pt>
              </c:numCache>
            </c:numRef>
          </c:val>
          <c:extLst>
            <c:ext xmlns:c16="http://schemas.microsoft.com/office/drawing/2014/chart" uri="{C3380CC4-5D6E-409C-BE32-E72D297353CC}">
              <c16:uniqueId val="{00000001-84F3-418E-94BF-E86195B5D1B2}"/>
            </c:ext>
          </c:extLst>
        </c:ser>
        <c:ser>
          <c:idx val="2"/>
          <c:order val="2"/>
          <c:tx>
            <c:strRef>
              <c:f>'Q4'!$D$3:$D$4</c:f>
              <c:strCache>
                <c:ptCount val="1"/>
                <c:pt idx="0">
                  <c:v>Medium</c:v>
                </c:pt>
              </c:strCache>
            </c:strRef>
          </c:tx>
          <c:spPr>
            <a:solidFill>
              <a:schemeClr val="accent3"/>
            </a:solidFill>
            <a:ln>
              <a:noFill/>
            </a:ln>
            <a:effectLst/>
          </c:spPr>
          <c:invertIfNegative val="0"/>
          <c:cat>
            <c:strRef>
              <c:f>'Q4'!$A$5:$A$25</c:f>
              <c:strCache>
                <c:ptCount val="20"/>
                <c:pt idx="0">
                  <c:v>1-100</c:v>
                </c:pt>
                <c:pt idx="1">
                  <c:v>101-200</c:v>
                </c:pt>
                <c:pt idx="2">
                  <c:v>201-300</c:v>
                </c:pt>
                <c:pt idx="3">
                  <c:v>301-400</c:v>
                </c:pt>
                <c:pt idx="4">
                  <c:v>401-500</c:v>
                </c:pt>
                <c:pt idx="5">
                  <c:v>501-600</c:v>
                </c:pt>
                <c:pt idx="6">
                  <c:v>601-700</c:v>
                </c:pt>
                <c:pt idx="7">
                  <c:v>701-800</c:v>
                </c:pt>
                <c:pt idx="8">
                  <c:v>801-900</c:v>
                </c:pt>
                <c:pt idx="9">
                  <c:v>901-1000</c:v>
                </c:pt>
                <c:pt idx="10">
                  <c:v>1001-1100</c:v>
                </c:pt>
                <c:pt idx="11">
                  <c:v>1101-1200</c:v>
                </c:pt>
                <c:pt idx="12">
                  <c:v>1201-1300</c:v>
                </c:pt>
                <c:pt idx="13">
                  <c:v>1301-1400</c:v>
                </c:pt>
                <c:pt idx="14">
                  <c:v>1401-1500</c:v>
                </c:pt>
                <c:pt idx="15">
                  <c:v>1501-1600</c:v>
                </c:pt>
                <c:pt idx="16">
                  <c:v>1601-1700</c:v>
                </c:pt>
                <c:pt idx="17">
                  <c:v>1701-1800</c:v>
                </c:pt>
                <c:pt idx="18">
                  <c:v>1801-1900</c:v>
                </c:pt>
                <c:pt idx="19">
                  <c:v>1901-2000</c:v>
                </c:pt>
              </c:strCache>
            </c:strRef>
          </c:cat>
          <c:val>
            <c:numRef>
              <c:f>'Q4'!$D$5:$D$25</c:f>
              <c:numCache>
                <c:formatCode>0.00%</c:formatCode>
                <c:ptCount val="20"/>
                <c:pt idx="0">
                  <c:v>2.3255813953488372E-2</c:v>
                </c:pt>
                <c:pt idx="1">
                  <c:v>5.232558139534884E-2</c:v>
                </c:pt>
                <c:pt idx="2">
                  <c:v>4.6511627906976744E-2</c:v>
                </c:pt>
                <c:pt idx="3">
                  <c:v>8.1395348837209308E-2</c:v>
                </c:pt>
                <c:pt idx="4">
                  <c:v>7.5581395348837205E-2</c:v>
                </c:pt>
                <c:pt idx="5">
                  <c:v>0.12790697674418605</c:v>
                </c:pt>
                <c:pt idx="6">
                  <c:v>0.12790697674418605</c:v>
                </c:pt>
                <c:pt idx="7">
                  <c:v>9.8837209302325577E-2</c:v>
                </c:pt>
                <c:pt idx="8">
                  <c:v>9.8837209302325577E-2</c:v>
                </c:pt>
                <c:pt idx="9">
                  <c:v>0.11627906976744186</c:v>
                </c:pt>
                <c:pt idx="10">
                  <c:v>7.5581395348837205E-2</c:v>
                </c:pt>
                <c:pt idx="11">
                  <c:v>1.1627906976744186E-2</c:v>
                </c:pt>
                <c:pt idx="12">
                  <c:v>2.3255813953488372E-2</c:v>
                </c:pt>
                <c:pt idx="13">
                  <c:v>1.7441860465116279E-2</c:v>
                </c:pt>
                <c:pt idx="14">
                  <c:v>1.7441860465116279E-2</c:v>
                </c:pt>
                <c:pt idx="15">
                  <c:v>5.8139534883720929E-3</c:v>
                </c:pt>
                <c:pt idx="16">
                  <c:v>0</c:v>
                </c:pt>
                <c:pt idx="17">
                  <c:v>0</c:v>
                </c:pt>
                <c:pt idx="18">
                  <c:v>0</c:v>
                </c:pt>
                <c:pt idx="19">
                  <c:v>0</c:v>
                </c:pt>
              </c:numCache>
            </c:numRef>
          </c:val>
          <c:extLst>
            <c:ext xmlns:c16="http://schemas.microsoft.com/office/drawing/2014/chart" uri="{C3380CC4-5D6E-409C-BE32-E72D297353CC}">
              <c16:uniqueId val="{00000002-84F3-418E-94BF-E86195B5D1B2}"/>
            </c:ext>
          </c:extLst>
        </c:ser>
        <c:dLbls>
          <c:showLegendKey val="0"/>
          <c:showVal val="0"/>
          <c:showCatName val="0"/>
          <c:showSerName val="0"/>
          <c:showPercent val="0"/>
          <c:showBubbleSize val="0"/>
        </c:dLbls>
        <c:gapWidth val="0"/>
        <c:overlap val="-27"/>
        <c:axId val="2055324656"/>
        <c:axId val="2057371648"/>
      </c:barChart>
      <c:catAx>
        <c:axId val="205532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7371648"/>
        <c:crosses val="autoZero"/>
        <c:auto val="1"/>
        <c:lblAlgn val="ctr"/>
        <c:lblOffset val="100"/>
        <c:noMultiLvlLbl val="0"/>
      </c:catAx>
      <c:valAx>
        <c:axId val="2057371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Percentage of cardholders</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53246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r>
              <a:rPr lang="en-US" sz="1800" b="1"/>
              <a:t>Don't Count Your Chickens </a:t>
            </a:r>
            <a:br>
              <a:rPr lang="en-US" sz="1800"/>
            </a:br>
            <a:r>
              <a:rPr lang="en-US" sz="1800"/>
              <a:t>- cumulative domestic UG applications</a:t>
            </a:r>
          </a:p>
        </c:rich>
      </c:tx>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1736297668673764E-2"/>
          <c:y val="0.14460167714884695"/>
          <c:w val="0.88473429056662034"/>
          <c:h val="0.58637543538189807"/>
        </c:manualLayout>
      </c:layout>
      <c:lineChart>
        <c:grouping val="standard"/>
        <c:varyColors val="0"/>
        <c:ser>
          <c:idx val="0"/>
          <c:order val="0"/>
          <c:tx>
            <c:strRef>
              <c:f>Sheet3!$B$19</c:f>
              <c:strCache>
                <c:ptCount val="1"/>
                <c:pt idx="0">
                  <c:v>September - December 2007</c:v>
                </c:pt>
              </c:strCache>
            </c:strRef>
          </c:tx>
          <c:spPr>
            <a:ln w="28575" cap="rnd">
              <a:solidFill>
                <a:schemeClr val="accent1"/>
              </a:solidFill>
              <a:round/>
            </a:ln>
            <a:effectLst/>
          </c:spPr>
          <c:marker>
            <c:symbol val="none"/>
          </c:marker>
          <c:cat>
            <c:strRef>
              <c:f>Sheet3!$A$20:$A$31</c:f>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f>Sheet3!$B$20:$B$31</c:f>
              <c:numCache>
                <c:formatCode>General</c:formatCode>
                <c:ptCount val="12"/>
                <c:pt idx="0">
                  <c:v>63</c:v>
                </c:pt>
                <c:pt idx="1">
                  <c:v>262</c:v>
                </c:pt>
                <c:pt idx="2">
                  <c:v>483</c:v>
                </c:pt>
                <c:pt idx="3">
                  <c:v>923</c:v>
                </c:pt>
                <c:pt idx="4">
                  <c:v>1493</c:v>
                </c:pt>
                <c:pt idx="5">
                  <c:v>2312</c:v>
                </c:pt>
                <c:pt idx="6">
                  <c:v>2599</c:v>
                </c:pt>
                <c:pt idx="7">
                  <c:v>2902</c:v>
                </c:pt>
                <c:pt idx="8">
                  <c:v>3133</c:v>
                </c:pt>
                <c:pt idx="9">
                  <c:v>3427</c:v>
                </c:pt>
                <c:pt idx="10">
                  <c:v>3679</c:v>
                </c:pt>
                <c:pt idx="11">
                  <c:v>3759</c:v>
                </c:pt>
              </c:numCache>
            </c:numRef>
          </c:val>
          <c:smooth val="0"/>
          <c:extLst>
            <c:ext xmlns:c16="http://schemas.microsoft.com/office/drawing/2014/chart" uri="{C3380CC4-5D6E-409C-BE32-E72D297353CC}">
              <c16:uniqueId val="{00000000-65E8-4D37-AE7E-AA55DBC39983}"/>
            </c:ext>
          </c:extLst>
        </c:ser>
        <c:ser>
          <c:idx val="2"/>
          <c:order val="2"/>
          <c:tx>
            <c:strRef>
              <c:f>Sheet3!$D$19</c:f>
              <c:strCache>
                <c:ptCount val="1"/>
                <c:pt idx="0">
                  <c:v>September - December 2009</c:v>
                </c:pt>
              </c:strCache>
            </c:strRef>
          </c:tx>
          <c:spPr>
            <a:ln w="28575" cap="rnd">
              <a:solidFill>
                <a:srgbClr val="FFC000"/>
              </a:solidFill>
              <a:round/>
            </a:ln>
            <a:effectLst/>
          </c:spPr>
          <c:marker>
            <c:symbol val="none"/>
          </c:marker>
          <c:cat>
            <c:strRef>
              <c:f>Sheet3!$A$20:$A$31</c:f>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f>Sheet3!$D$20:$D$31</c:f>
              <c:numCache>
                <c:formatCode>General</c:formatCode>
                <c:ptCount val="12"/>
                <c:pt idx="0">
                  <c:v>68</c:v>
                </c:pt>
                <c:pt idx="1">
                  <c:v>265</c:v>
                </c:pt>
                <c:pt idx="2">
                  <c:v>425</c:v>
                </c:pt>
                <c:pt idx="3">
                  <c:v>873</c:v>
                </c:pt>
                <c:pt idx="4">
                  <c:v>1329</c:v>
                </c:pt>
                <c:pt idx="5">
                  <c:v>2013</c:v>
                </c:pt>
                <c:pt idx="6">
                  <c:v>2283</c:v>
                </c:pt>
                <c:pt idx="7">
                  <c:v>2506</c:v>
                </c:pt>
                <c:pt idx="8">
                  <c:v>2697</c:v>
                </c:pt>
                <c:pt idx="9">
                  <c:v>2917</c:v>
                </c:pt>
                <c:pt idx="10">
                  <c:v>3143</c:v>
                </c:pt>
                <c:pt idx="11">
                  <c:v>3282</c:v>
                </c:pt>
              </c:numCache>
            </c:numRef>
          </c:val>
          <c:smooth val="0"/>
          <c:extLst>
            <c:ext xmlns:c16="http://schemas.microsoft.com/office/drawing/2014/chart" uri="{C3380CC4-5D6E-409C-BE32-E72D297353CC}">
              <c16:uniqueId val="{00000001-65E8-4D37-AE7E-AA55DBC39983}"/>
            </c:ext>
          </c:extLst>
        </c:ser>
        <c:ser>
          <c:idx val="4"/>
          <c:order val="4"/>
          <c:tx>
            <c:strRef>
              <c:f>Sheet3!$F$19</c:f>
              <c:strCache>
                <c:ptCount val="1"/>
                <c:pt idx="0">
                  <c:v>September - December 2011</c:v>
                </c:pt>
              </c:strCache>
            </c:strRef>
          </c:tx>
          <c:spPr>
            <a:ln w="28575" cap="rnd">
              <a:solidFill>
                <a:srgbClr val="FF0000"/>
              </a:solidFill>
              <a:round/>
            </a:ln>
            <a:effectLst/>
          </c:spPr>
          <c:marker>
            <c:symbol val="none"/>
          </c:marker>
          <c:cat>
            <c:strRef>
              <c:f>Sheet3!$A$20:$A$31</c:f>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f>Sheet3!$F$20:$F$31</c:f>
              <c:numCache>
                <c:formatCode>General</c:formatCode>
                <c:ptCount val="12"/>
                <c:pt idx="0">
                  <c:v>138</c:v>
                </c:pt>
                <c:pt idx="1">
                  <c:v>395</c:v>
                </c:pt>
                <c:pt idx="2">
                  <c:v>530</c:v>
                </c:pt>
                <c:pt idx="3">
                  <c:v>995</c:v>
                </c:pt>
                <c:pt idx="4">
                  <c:v>1460</c:v>
                </c:pt>
                <c:pt idx="5">
                  <c:v>2115</c:v>
                </c:pt>
                <c:pt idx="6">
                  <c:v>2313</c:v>
                </c:pt>
                <c:pt idx="7">
                  <c:v>2510</c:v>
                </c:pt>
                <c:pt idx="8">
                  <c:v>2710</c:v>
                </c:pt>
                <c:pt idx="9">
                  <c:v>2862</c:v>
                </c:pt>
                <c:pt idx="10">
                  <c:v>3071</c:v>
                </c:pt>
                <c:pt idx="11">
                  <c:v>3172</c:v>
                </c:pt>
              </c:numCache>
            </c:numRef>
          </c:val>
          <c:smooth val="0"/>
          <c:extLst>
            <c:ext xmlns:c16="http://schemas.microsoft.com/office/drawing/2014/chart" uri="{C3380CC4-5D6E-409C-BE32-E72D297353CC}">
              <c16:uniqueId val="{00000002-65E8-4D37-AE7E-AA55DBC39983}"/>
            </c:ext>
          </c:extLst>
        </c:ser>
        <c:ser>
          <c:idx val="6"/>
          <c:order val="6"/>
          <c:tx>
            <c:strRef>
              <c:f>Sheet3!$H$19</c:f>
              <c:strCache>
                <c:ptCount val="1"/>
                <c:pt idx="0">
                  <c:v>September - December 2013</c:v>
                </c:pt>
              </c:strCache>
            </c:strRef>
          </c:tx>
          <c:spPr>
            <a:ln w="28575" cap="rnd">
              <a:solidFill>
                <a:srgbClr val="00B050"/>
              </a:solidFill>
              <a:round/>
            </a:ln>
            <a:effectLst/>
          </c:spPr>
          <c:marker>
            <c:symbol val="none"/>
          </c:marker>
          <c:cat>
            <c:strRef>
              <c:f>Sheet3!$A$20:$A$31</c:f>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f>Sheet3!$H$20:$H$31</c:f>
              <c:numCache>
                <c:formatCode>General</c:formatCode>
                <c:ptCount val="12"/>
                <c:pt idx="0">
                  <c:v>283</c:v>
                </c:pt>
                <c:pt idx="1">
                  <c:v>706</c:v>
                </c:pt>
                <c:pt idx="2">
                  <c:v>864</c:v>
                </c:pt>
                <c:pt idx="3">
                  <c:v>1289</c:v>
                </c:pt>
                <c:pt idx="4">
                  <c:v>1752</c:v>
                </c:pt>
                <c:pt idx="5">
                  <c:v>2179</c:v>
                </c:pt>
                <c:pt idx="6">
                  <c:v>2404</c:v>
                </c:pt>
                <c:pt idx="7">
                  <c:v>2578</c:v>
                </c:pt>
                <c:pt idx="8">
                  <c:v>2722</c:v>
                </c:pt>
                <c:pt idx="9">
                  <c:v>2888</c:v>
                </c:pt>
                <c:pt idx="10">
                  <c:v>3031</c:v>
                </c:pt>
                <c:pt idx="11">
                  <c:v>3103</c:v>
                </c:pt>
              </c:numCache>
            </c:numRef>
          </c:val>
          <c:smooth val="0"/>
          <c:extLst>
            <c:ext xmlns:c16="http://schemas.microsoft.com/office/drawing/2014/chart" uri="{C3380CC4-5D6E-409C-BE32-E72D297353CC}">
              <c16:uniqueId val="{00000003-65E8-4D37-AE7E-AA55DBC39983}"/>
            </c:ext>
          </c:extLst>
        </c:ser>
        <c:ser>
          <c:idx val="8"/>
          <c:order val="8"/>
          <c:tx>
            <c:strRef>
              <c:f>Sheet3!$J$19</c:f>
              <c:strCache>
                <c:ptCount val="1"/>
                <c:pt idx="0">
                  <c:v>September - December 2015</c:v>
                </c:pt>
              </c:strCache>
            </c:strRef>
          </c:tx>
          <c:spPr>
            <a:ln w="28575" cap="rnd">
              <a:solidFill>
                <a:sysClr val="windowText" lastClr="000000"/>
              </a:solidFill>
              <a:round/>
            </a:ln>
            <a:effectLst/>
          </c:spPr>
          <c:marker>
            <c:symbol val="none"/>
          </c:marker>
          <c:cat>
            <c:strRef>
              <c:f>Sheet3!$A$20:$A$31</c:f>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f>Sheet3!$J$20:$J$31</c:f>
              <c:numCache>
                <c:formatCode>General</c:formatCode>
                <c:ptCount val="12"/>
                <c:pt idx="0">
                  <c:v>395</c:v>
                </c:pt>
                <c:pt idx="1">
                  <c:v>860</c:v>
                </c:pt>
                <c:pt idx="2">
                  <c:v>1013</c:v>
                </c:pt>
                <c:pt idx="3">
                  <c:v>1308</c:v>
                </c:pt>
                <c:pt idx="4">
                  <c:v>1653</c:v>
                </c:pt>
                <c:pt idx="5">
                  <c:v>1994</c:v>
                </c:pt>
                <c:pt idx="6">
                  <c:v>2192</c:v>
                </c:pt>
                <c:pt idx="7">
                  <c:v>2344</c:v>
                </c:pt>
                <c:pt idx="8">
                  <c:v>2475</c:v>
                </c:pt>
                <c:pt idx="9">
                  <c:v>2584</c:v>
                </c:pt>
                <c:pt idx="10">
                  <c:v>2705</c:v>
                </c:pt>
                <c:pt idx="11">
                  <c:v>2810</c:v>
                </c:pt>
              </c:numCache>
            </c:numRef>
          </c:val>
          <c:smooth val="0"/>
          <c:extLst>
            <c:ext xmlns:c16="http://schemas.microsoft.com/office/drawing/2014/chart" uri="{C3380CC4-5D6E-409C-BE32-E72D297353CC}">
              <c16:uniqueId val="{00000004-65E8-4D37-AE7E-AA55DBC39983}"/>
            </c:ext>
          </c:extLst>
        </c:ser>
        <c:ser>
          <c:idx val="10"/>
          <c:order val="10"/>
          <c:tx>
            <c:strRef>
              <c:f>Sheet3!$L$19</c:f>
              <c:strCache>
                <c:ptCount val="1"/>
                <c:pt idx="0">
                  <c:v>September - December 2017</c:v>
                </c:pt>
              </c:strCache>
            </c:strRef>
          </c:tx>
          <c:spPr>
            <a:ln w="28575" cap="rnd">
              <a:solidFill>
                <a:schemeClr val="accent5">
                  <a:lumMod val="60000"/>
                </a:schemeClr>
              </a:solidFill>
              <a:prstDash val="dashDot"/>
              <a:round/>
            </a:ln>
            <a:effectLst/>
          </c:spPr>
          <c:marker>
            <c:symbol val="none"/>
          </c:marker>
          <c:cat>
            <c:strRef>
              <c:f>Sheet3!$A$20:$A$31</c:f>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f>Sheet3!$L$20:$L$31</c:f>
              <c:numCache>
                <c:formatCode>General</c:formatCode>
                <c:ptCount val="12"/>
                <c:pt idx="0">
                  <c:v>239</c:v>
                </c:pt>
                <c:pt idx="1">
                  <c:v>1028</c:v>
                </c:pt>
                <c:pt idx="2">
                  <c:v>1251</c:v>
                </c:pt>
                <c:pt idx="3">
                  <c:v>1575</c:v>
                </c:pt>
                <c:pt idx="4">
                  <c:v>1912</c:v>
                </c:pt>
                <c:pt idx="5">
                  <c:v>2191</c:v>
                </c:pt>
              </c:numCache>
            </c:numRef>
          </c:val>
          <c:smooth val="0"/>
          <c:extLst>
            <c:ext xmlns:c16="http://schemas.microsoft.com/office/drawing/2014/chart" uri="{C3380CC4-5D6E-409C-BE32-E72D297353CC}">
              <c16:uniqueId val="{00000005-65E8-4D37-AE7E-AA55DBC39983}"/>
            </c:ext>
          </c:extLst>
        </c:ser>
        <c:dLbls>
          <c:showLegendKey val="0"/>
          <c:showVal val="0"/>
          <c:showCatName val="0"/>
          <c:showSerName val="0"/>
          <c:showPercent val="0"/>
          <c:showBubbleSize val="0"/>
        </c:dLbls>
        <c:smooth val="0"/>
        <c:axId val="640924048"/>
        <c:axId val="640924440"/>
        <c:extLst>
          <c:ext xmlns:c15="http://schemas.microsoft.com/office/drawing/2012/chart" uri="{02D57815-91ED-43cb-92C2-25804820EDAC}">
            <c15:filteredLineSeries>
              <c15:ser>
                <c:idx val="1"/>
                <c:order val="1"/>
                <c:tx>
                  <c:strRef>
                    <c:extLst>
                      <c:ext uri="{02D57815-91ED-43cb-92C2-25804820EDAC}">
                        <c15:formulaRef>
                          <c15:sqref>Sheet3!$C$19</c15:sqref>
                        </c15:formulaRef>
                      </c:ext>
                    </c:extLst>
                    <c:strCache>
                      <c:ptCount val="1"/>
                      <c:pt idx="0">
                        <c:v>September - December 2008</c:v>
                      </c:pt>
                    </c:strCache>
                  </c:strRef>
                </c:tx>
                <c:spPr>
                  <a:ln w="28575" cap="rnd">
                    <a:solidFill>
                      <a:schemeClr val="accent2"/>
                    </a:solidFill>
                    <a:round/>
                  </a:ln>
                  <a:effectLst/>
                </c:spPr>
                <c:marker>
                  <c:symbol val="none"/>
                </c:marker>
                <c:cat>
                  <c:strRef>
                    <c:extLst>
                      <c:ext uri="{02D57815-91ED-43cb-92C2-25804820EDAC}">
                        <c15:formulaRef>
                          <c15:sqref>Sheet3!$A$20:$A$31</c15:sqref>
                        </c15:formulaRef>
                      </c:ext>
                    </c:extLst>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extLst>
                      <c:ext uri="{02D57815-91ED-43cb-92C2-25804820EDAC}">
                        <c15:formulaRef>
                          <c15:sqref>Sheet3!$C$20:$C$31</c15:sqref>
                        </c15:formulaRef>
                      </c:ext>
                    </c:extLst>
                    <c:numCache>
                      <c:formatCode>General</c:formatCode>
                      <c:ptCount val="12"/>
                      <c:pt idx="0">
                        <c:v>122</c:v>
                      </c:pt>
                      <c:pt idx="1">
                        <c:v>296</c:v>
                      </c:pt>
                      <c:pt idx="2">
                        <c:v>471</c:v>
                      </c:pt>
                      <c:pt idx="3">
                        <c:v>915</c:v>
                      </c:pt>
                      <c:pt idx="4">
                        <c:v>1499</c:v>
                      </c:pt>
                      <c:pt idx="5">
                        <c:v>2087</c:v>
                      </c:pt>
                      <c:pt idx="6">
                        <c:v>2357</c:v>
                      </c:pt>
                      <c:pt idx="7">
                        <c:v>2599</c:v>
                      </c:pt>
                      <c:pt idx="8">
                        <c:v>2862</c:v>
                      </c:pt>
                      <c:pt idx="9">
                        <c:v>3115</c:v>
                      </c:pt>
                      <c:pt idx="10">
                        <c:v>3300</c:v>
                      </c:pt>
                      <c:pt idx="11">
                        <c:v>3380</c:v>
                      </c:pt>
                    </c:numCache>
                  </c:numRef>
                </c:val>
                <c:smooth val="0"/>
                <c:extLst>
                  <c:ext xmlns:c16="http://schemas.microsoft.com/office/drawing/2014/chart" uri="{C3380CC4-5D6E-409C-BE32-E72D297353CC}">
                    <c16:uniqueId val="{00000006-65E8-4D37-AE7E-AA55DBC39983}"/>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Sheet3!$E$19</c15:sqref>
                        </c15:formulaRef>
                      </c:ext>
                    </c:extLst>
                    <c:strCache>
                      <c:ptCount val="1"/>
                      <c:pt idx="0">
                        <c:v>September - December 2010</c:v>
                      </c:pt>
                    </c:strCache>
                  </c:strRef>
                </c:tx>
                <c:spPr>
                  <a:ln w="28575" cap="rnd">
                    <a:solidFill>
                      <a:schemeClr val="accent4"/>
                    </a:solidFill>
                    <a:round/>
                  </a:ln>
                  <a:effectLst/>
                </c:spPr>
                <c:marker>
                  <c:symbol val="none"/>
                </c:marker>
                <c:cat>
                  <c:strRef>
                    <c:extLst xmlns:c15="http://schemas.microsoft.com/office/drawing/2012/chart">
                      <c:ext xmlns:c15="http://schemas.microsoft.com/office/drawing/2012/chart" uri="{02D57815-91ED-43cb-92C2-25804820EDAC}">
                        <c15:formulaRef>
                          <c15:sqref>Sheet3!$A$20:$A$31</c15:sqref>
                        </c15:formulaRef>
                      </c:ext>
                    </c:extLst>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extLst xmlns:c15="http://schemas.microsoft.com/office/drawing/2012/chart">
                      <c:ext xmlns:c15="http://schemas.microsoft.com/office/drawing/2012/chart" uri="{02D57815-91ED-43cb-92C2-25804820EDAC}">
                        <c15:formulaRef>
                          <c15:sqref>Sheet3!$E$20:$E$31</c15:sqref>
                        </c15:formulaRef>
                      </c:ext>
                    </c:extLst>
                    <c:numCache>
                      <c:formatCode>General</c:formatCode>
                      <c:ptCount val="12"/>
                      <c:pt idx="0">
                        <c:v>133</c:v>
                      </c:pt>
                      <c:pt idx="1">
                        <c:v>356</c:v>
                      </c:pt>
                      <c:pt idx="2">
                        <c:v>504</c:v>
                      </c:pt>
                      <c:pt idx="3">
                        <c:v>944</c:v>
                      </c:pt>
                      <c:pt idx="4">
                        <c:v>1414</c:v>
                      </c:pt>
                      <c:pt idx="5">
                        <c:v>2182</c:v>
                      </c:pt>
                      <c:pt idx="6">
                        <c:v>2440</c:v>
                      </c:pt>
                      <c:pt idx="7">
                        <c:v>2666</c:v>
                      </c:pt>
                      <c:pt idx="8">
                        <c:v>2857</c:v>
                      </c:pt>
                      <c:pt idx="9">
                        <c:v>3057</c:v>
                      </c:pt>
                      <c:pt idx="10">
                        <c:v>3294</c:v>
                      </c:pt>
                      <c:pt idx="11">
                        <c:v>3437</c:v>
                      </c:pt>
                    </c:numCache>
                  </c:numRef>
                </c:val>
                <c:smooth val="0"/>
                <c:extLst xmlns:c15="http://schemas.microsoft.com/office/drawing/2012/chart">
                  <c:ext xmlns:c16="http://schemas.microsoft.com/office/drawing/2014/chart" uri="{C3380CC4-5D6E-409C-BE32-E72D297353CC}">
                    <c16:uniqueId val="{00000007-65E8-4D37-AE7E-AA55DBC39983}"/>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Sheet3!$G$19</c15:sqref>
                        </c15:formulaRef>
                      </c:ext>
                    </c:extLst>
                    <c:strCache>
                      <c:ptCount val="1"/>
                      <c:pt idx="0">
                        <c:v>September - December 2012</c:v>
                      </c:pt>
                    </c:strCache>
                  </c:strRef>
                </c:tx>
                <c:spPr>
                  <a:ln w="28575" cap="rnd">
                    <a:solidFill>
                      <a:schemeClr val="accent6"/>
                    </a:solidFill>
                    <a:round/>
                  </a:ln>
                  <a:effectLst/>
                </c:spPr>
                <c:marker>
                  <c:symbol val="none"/>
                </c:marker>
                <c:cat>
                  <c:strRef>
                    <c:extLst xmlns:c15="http://schemas.microsoft.com/office/drawing/2012/chart">
                      <c:ext xmlns:c15="http://schemas.microsoft.com/office/drawing/2012/chart" uri="{02D57815-91ED-43cb-92C2-25804820EDAC}">
                        <c15:formulaRef>
                          <c15:sqref>Sheet3!$A$20:$A$31</c15:sqref>
                        </c15:formulaRef>
                      </c:ext>
                    </c:extLst>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extLst xmlns:c15="http://schemas.microsoft.com/office/drawing/2012/chart">
                      <c:ext xmlns:c15="http://schemas.microsoft.com/office/drawing/2012/chart" uri="{02D57815-91ED-43cb-92C2-25804820EDAC}">
                        <c15:formulaRef>
                          <c15:sqref>Sheet3!$G$20:$G$31</c15:sqref>
                        </c15:formulaRef>
                      </c:ext>
                    </c:extLst>
                    <c:numCache>
                      <c:formatCode>General</c:formatCode>
                      <c:ptCount val="12"/>
                      <c:pt idx="0">
                        <c:v>201</c:v>
                      </c:pt>
                      <c:pt idx="1">
                        <c:v>539</c:v>
                      </c:pt>
                      <c:pt idx="2">
                        <c:v>717</c:v>
                      </c:pt>
                      <c:pt idx="3">
                        <c:v>1174</c:v>
                      </c:pt>
                      <c:pt idx="4">
                        <c:v>1699</c:v>
                      </c:pt>
                      <c:pt idx="5">
                        <c:v>2135</c:v>
                      </c:pt>
                      <c:pt idx="6">
                        <c:v>2366</c:v>
                      </c:pt>
                      <c:pt idx="7">
                        <c:v>2565</c:v>
                      </c:pt>
                      <c:pt idx="8">
                        <c:v>2722</c:v>
                      </c:pt>
                      <c:pt idx="9">
                        <c:v>2880</c:v>
                      </c:pt>
                      <c:pt idx="10">
                        <c:v>3060</c:v>
                      </c:pt>
                      <c:pt idx="11">
                        <c:v>3124</c:v>
                      </c:pt>
                    </c:numCache>
                  </c:numRef>
                </c:val>
                <c:smooth val="0"/>
                <c:extLst xmlns:c15="http://schemas.microsoft.com/office/drawing/2012/chart">
                  <c:ext xmlns:c16="http://schemas.microsoft.com/office/drawing/2014/chart" uri="{C3380CC4-5D6E-409C-BE32-E72D297353CC}">
                    <c16:uniqueId val="{00000008-65E8-4D37-AE7E-AA55DBC39983}"/>
                  </c:ext>
                </c:extLst>
              </c15:ser>
            </c15:filteredLineSeries>
            <c15:filteredLineSeries>
              <c15:ser>
                <c:idx val="7"/>
                <c:order val="7"/>
                <c:tx>
                  <c:strRef>
                    <c:extLst xmlns:c15="http://schemas.microsoft.com/office/drawing/2012/chart">
                      <c:ext xmlns:c15="http://schemas.microsoft.com/office/drawing/2012/chart" uri="{02D57815-91ED-43cb-92C2-25804820EDAC}">
                        <c15:formulaRef>
                          <c15:sqref>Sheet3!$I$19</c15:sqref>
                        </c15:formulaRef>
                      </c:ext>
                    </c:extLst>
                    <c:strCache>
                      <c:ptCount val="1"/>
                      <c:pt idx="0">
                        <c:v>September - December 2014</c:v>
                      </c:pt>
                    </c:strCache>
                  </c:strRef>
                </c:tx>
                <c:spPr>
                  <a:ln w="28575" cap="rnd">
                    <a:solidFill>
                      <a:schemeClr val="accent2">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Sheet3!$A$20:$A$31</c15:sqref>
                        </c15:formulaRef>
                      </c:ext>
                    </c:extLst>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extLst xmlns:c15="http://schemas.microsoft.com/office/drawing/2012/chart">
                      <c:ext xmlns:c15="http://schemas.microsoft.com/office/drawing/2012/chart" uri="{02D57815-91ED-43cb-92C2-25804820EDAC}">
                        <c15:formulaRef>
                          <c15:sqref>Sheet3!$I$20:$I$31</c15:sqref>
                        </c15:formulaRef>
                      </c:ext>
                    </c:extLst>
                    <c:numCache>
                      <c:formatCode>General</c:formatCode>
                      <c:ptCount val="12"/>
                      <c:pt idx="0">
                        <c:v>270</c:v>
                      </c:pt>
                      <c:pt idx="1">
                        <c:v>670</c:v>
                      </c:pt>
                      <c:pt idx="2">
                        <c:v>916</c:v>
                      </c:pt>
                      <c:pt idx="3">
                        <c:v>1253</c:v>
                      </c:pt>
                      <c:pt idx="4">
                        <c:v>1676</c:v>
                      </c:pt>
                      <c:pt idx="5">
                        <c:v>2054</c:v>
                      </c:pt>
                      <c:pt idx="6">
                        <c:v>2244</c:v>
                      </c:pt>
                      <c:pt idx="7">
                        <c:v>2418</c:v>
                      </c:pt>
                      <c:pt idx="8">
                        <c:v>2554</c:v>
                      </c:pt>
                      <c:pt idx="9">
                        <c:v>2713</c:v>
                      </c:pt>
                      <c:pt idx="10">
                        <c:v>2848</c:v>
                      </c:pt>
                      <c:pt idx="11">
                        <c:v>2926</c:v>
                      </c:pt>
                    </c:numCache>
                  </c:numRef>
                </c:val>
                <c:smooth val="0"/>
                <c:extLst xmlns:c15="http://schemas.microsoft.com/office/drawing/2012/chart">
                  <c:ext xmlns:c16="http://schemas.microsoft.com/office/drawing/2014/chart" uri="{C3380CC4-5D6E-409C-BE32-E72D297353CC}">
                    <c16:uniqueId val="{00000009-65E8-4D37-AE7E-AA55DBC39983}"/>
                  </c:ext>
                </c:extLst>
              </c15:ser>
            </c15:filteredLineSeries>
            <c15:filteredLineSeries>
              <c15:ser>
                <c:idx val="9"/>
                <c:order val="9"/>
                <c:tx>
                  <c:strRef>
                    <c:extLst xmlns:c15="http://schemas.microsoft.com/office/drawing/2012/chart">
                      <c:ext xmlns:c15="http://schemas.microsoft.com/office/drawing/2012/chart" uri="{02D57815-91ED-43cb-92C2-25804820EDAC}">
                        <c15:formulaRef>
                          <c15:sqref>Sheet3!$K$19</c15:sqref>
                        </c15:formulaRef>
                      </c:ext>
                    </c:extLst>
                    <c:strCache>
                      <c:ptCount val="1"/>
                      <c:pt idx="0">
                        <c:v>September - December 2016</c:v>
                      </c:pt>
                    </c:strCache>
                  </c:strRef>
                </c:tx>
                <c:spPr>
                  <a:ln w="28575" cap="rnd">
                    <a:solidFill>
                      <a:schemeClr val="accent4">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Sheet3!$A$20:$A$31</c15:sqref>
                        </c15:formulaRef>
                      </c:ext>
                    </c:extLst>
                    <c:strCache>
                      <c:ptCount val="12"/>
                      <c:pt idx="0">
                        <c:v>October</c:v>
                      </c:pt>
                      <c:pt idx="1">
                        <c:v>November</c:v>
                      </c:pt>
                      <c:pt idx="2">
                        <c:v>December</c:v>
                      </c:pt>
                      <c:pt idx="3">
                        <c:v>January</c:v>
                      </c:pt>
                      <c:pt idx="4">
                        <c:v>February</c:v>
                      </c:pt>
                      <c:pt idx="5">
                        <c:v>March</c:v>
                      </c:pt>
                      <c:pt idx="6">
                        <c:v>April</c:v>
                      </c:pt>
                      <c:pt idx="7">
                        <c:v>May</c:v>
                      </c:pt>
                      <c:pt idx="8">
                        <c:v>June</c:v>
                      </c:pt>
                      <c:pt idx="9">
                        <c:v>July</c:v>
                      </c:pt>
                      <c:pt idx="10">
                        <c:v>August</c:v>
                      </c:pt>
                      <c:pt idx="11">
                        <c:v>September</c:v>
                      </c:pt>
                    </c:strCache>
                  </c:strRef>
                </c:cat>
                <c:val>
                  <c:numRef>
                    <c:extLst xmlns:c15="http://schemas.microsoft.com/office/drawing/2012/chart">
                      <c:ext xmlns:c15="http://schemas.microsoft.com/office/drawing/2012/chart" uri="{02D57815-91ED-43cb-92C2-25804820EDAC}">
                        <c15:formulaRef>
                          <c15:sqref>Sheet3!$K$20:$K$31</c15:sqref>
                        </c15:formulaRef>
                      </c:ext>
                    </c:extLst>
                    <c:numCache>
                      <c:formatCode>General</c:formatCode>
                      <c:ptCount val="12"/>
                      <c:pt idx="0">
                        <c:v>407</c:v>
                      </c:pt>
                      <c:pt idx="1">
                        <c:v>1033</c:v>
                      </c:pt>
                      <c:pt idx="2">
                        <c:v>1231</c:v>
                      </c:pt>
                      <c:pt idx="3">
                        <c:v>1536</c:v>
                      </c:pt>
                      <c:pt idx="4">
                        <c:v>1884</c:v>
                      </c:pt>
                      <c:pt idx="5">
                        <c:v>2246</c:v>
                      </c:pt>
                      <c:pt idx="6">
                        <c:v>2405</c:v>
                      </c:pt>
                      <c:pt idx="7">
                        <c:v>2549</c:v>
                      </c:pt>
                      <c:pt idx="8">
                        <c:v>2678</c:v>
                      </c:pt>
                      <c:pt idx="9">
                        <c:v>2809</c:v>
                      </c:pt>
                      <c:pt idx="10">
                        <c:v>2948</c:v>
                      </c:pt>
                      <c:pt idx="11">
                        <c:v>3054</c:v>
                      </c:pt>
                    </c:numCache>
                  </c:numRef>
                </c:val>
                <c:smooth val="0"/>
                <c:extLst xmlns:c15="http://schemas.microsoft.com/office/drawing/2012/chart">
                  <c:ext xmlns:c16="http://schemas.microsoft.com/office/drawing/2014/chart" uri="{C3380CC4-5D6E-409C-BE32-E72D297353CC}">
                    <c16:uniqueId val="{0000000A-65E8-4D37-AE7E-AA55DBC39983}"/>
                  </c:ext>
                </c:extLst>
              </c15:ser>
            </c15:filteredLineSeries>
          </c:ext>
        </c:extLst>
      </c:lineChart>
      <c:catAx>
        <c:axId val="64092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640924440"/>
        <c:crosses val="autoZero"/>
        <c:auto val="1"/>
        <c:lblAlgn val="ctr"/>
        <c:lblOffset val="100"/>
        <c:noMultiLvlLbl val="0"/>
      </c:catAx>
      <c:valAx>
        <c:axId val="640924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640924048"/>
        <c:crosses val="autoZero"/>
        <c:crossBetween val="between"/>
      </c:valAx>
      <c:spPr>
        <a:noFill/>
        <a:ln>
          <a:noFill/>
        </a:ln>
        <a:effectLst/>
      </c:spPr>
    </c:plotArea>
    <c:legend>
      <c:legendPos val="b"/>
      <c:layout>
        <c:manualLayout>
          <c:xMode val="edge"/>
          <c:yMode val="edge"/>
          <c:x val="0.12917199469769139"/>
          <c:y val="0.8919032436534422"/>
          <c:w val="0.7416559069548283"/>
          <c:h val="9.7359653382643976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Sheet1!$C$2:$C$401</cx:f>
        <cx:lvl ptCount="400">
          <cx:pt idx="0">High</cx:pt>
          <cx:pt idx="1">High</cx:pt>
          <cx:pt idx="2">High</cx:pt>
          <cx:pt idx="3">High</cx:pt>
          <cx:pt idx="4">High</cx:pt>
          <cx:pt idx="5">High</cx:pt>
          <cx:pt idx="6">High</cx:pt>
          <cx:pt idx="7">High</cx:pt>
          <cx:pt idx="8">High</cx:pt>
          <cx:pt idx="9">High</cx:pt>
          <cx:pt idx="10">High</cx:pt>
          <cx:pt idx="11">High</cx:pt>
          <cx:pt idx="12">High</cx:pt>
          <cx:pt idx="13">High</cx:pt>
          <cx:pt idx="14">High</cx:pt>
          <cx:pt idx="15">High</cx:pt>
          <cx:pt idx="16">High</cx:pt>
          <cx:pt idx="17">High</cx:pt>
          <cx:pt idx="18">High</cx:pt>
          <cx:pt idx="19">High</cx:pt>
          <cx:pt idx="20">High</cx:pt>
          <cx:pt idx="21">High</cx:pt>
          <cx:pt idx="22">High</cx:pt>
          <cx:pt idx="23">High</cx:pt>
          <cx:pt idx="24">High</cx:pt>
          <cx:pt idx="25">High</cx:pt>
          <cx:pt idx="26">High</cx:pt>
          <cx:pt idx="27">High</cx:pt>
          <cx:pt idx="28">High</cx:pt>
          <cx:pt idx="29">High</cx:pt>
          <cx:pt idx="30">High</cx:pt>
          <cx:pt idx="31">High</cx:pt>
          <cx:pt idx="32">High</cx:pt>
          <cx:pt idx="33">High</cx:pt>
          <cx:pt idx="34">High</cx:pt>
          <cx:pt idx="35">High</cx:pt>
          <cx:pt idx="36">Medium</cx:pt>
          <cx:pt idx="37">High</cx:pt>
          <cx:pt idx="38">High</cx:pt>
          <cx:pt idx="39">High</cx:pt>
          <cx:pt idx="40">High</cx:pt>
          <cx:pt idx="41">High</cx:pt>
          <cx:pt idx="42">High</cx:pt>
          <cx:pt idx="43">High</cx:pt>
          <cx:pt idx="44">High</cx:pt>
          <cx:pt idx="45">High</cx:pt>
          <cx:pt idx="46">High</cx:pt>
          <cx:pt idx="47">High</cx:pt>
          <cx:pt idx="48">Medium</cx:pt>
          <cx:pt idx="49">High</cx:pt>
          <cx:pt idx="50">High</cx:pt>
          <cx:pt idx="51">High</cx:pt>
          <cx:pt idx="52">High</cx:pt>
          <cx:pt idx="53">High</cx:pt>
          <cx:pt idx="54">High</cx:pt>
          <cx:pt idx="55">High</cx:pt>
          <cx:pt idx="56">High</cx:pt>
          <cx:pt idx="57">High</cx:pt>
          <cx:pt idx="58">High</cx:pt>
          <cx:pt idx="59">High</cx:pt>
          <cx:pt idx="60">High</cx:pt>
          <cx:pt idx="61">High</cx:pt>
          <cx:pt idx="62">High</cx:pt>
          <cx:pt idx="63">High</cx:pt>
          <cx:pt idx="64">High</cx:pt>
          <cx:pt idx="65">High</cx:pt>
          <cx:pt idx="66">High</cx:pt>
          <cx:pt idx="67">High</cx:pt>
          <cx:pt idx="68">High</cx:pt>
          <cx:pt idx="69">High</cx:pt>
          <cx:pt idx="70">High</cx:pt>
          <cx:pt idx="71">High</cx:pt>
          <cx:pt idx="72">High</cx:pt>
          <cx:pt idx="73">High</cx:pt>
          <cx:pt idx="74">High</cx:pt>
          <cx:pt idx="75">High</cx:pt>
          <cx:pt idx="76">High</cx:pt>
          <cx:pt idx="77">High</cx:pt>
          <cx:pt idx="78">High</cx:pt>
          <cx:pt idx="79">High</cx:pt>
          <cx:pt idx="80">High</cx:pt>
          <cx:pt idx="81">High</cx:pt>
          <cx:pt idx="82">High</cx:pt>
          <cx:pt idx="83">High</cx:pt>
          <cx:pt idx="84">High</cx:pt>
          <cx:pt idx="85">High</cx:pt>
          <cx:pt idx="86">High</cx:pt>
          <cx:pt idx="87">High</cx:pt>
          <cx:pt idx="88">High</cx:pt>
          <cx:pt idx="89">High</cx:pt>
          <cx:pt idx="90">High</cx:pt>
          <cx:pt idx="91">High</cx:pt>
          <cx:pt idx="92">Medium</cx:pt>
          <cx:pt idx="93">High</cx:pt>
          <cx:pt idx="94">High</cx:pt>
          <cx:pt idx="95">High</cx:pt>
          <cx:pt idx="96">High</cx:pt>
          <cx:pt idx="97">High</cx:pt>
          <cx:pt idx="98">High</cx:pt>
          <cx:pt idx="99">High</cx:pt>
          <cx:pt idx="100">Medium</cx:pt>
          <cx:pt idx="101">High</cx:pt>
          <cx:pt idx="102">Medium</cx:pt>
          <cx:pt idx="103">High</cx:pt>
          <cx:pt idx="104">High</cx:pt>
          <cx:pt idx="105">High</cx:pt>
          <cx:pt idx="106">High</cx:pt>
          <cx:pt idx="107">Medium</cx:pt>
          <cx:pt idx="108">High</cx:pt>
          <cx:pt idx="109">Medium</cx:pt>
          <cx:pt idx="110">Medium</cx:pt>
          <cx:pt idx="111">High</cx:pt>
          <cx:pt idx="112">Medium</cx:pt>
          <cx:pt idx="113">High</cx:pt>
          <cx:pt idx="114">Medium</cx:pt>
          <cx:pt idx="115">High</cx:pt>
          <cx:pt idx="116">High</cx:pt>
          <cx:pt idx="117">High</cx:pt>
          <cx:pt idx="118">Medium</cx:pt>
          <cx:pt idx="119">Medium</cx:pt>
          <cx:pt idx="120">High</cx:pt>
          <cx:pt idx="121">High</cx:pt>
          <cx:pt idx="122">High</cx:pt>
          <cx:pt idx="123">High</cx:pt>
          <cx:pt idx="124">High</cx:pt>
          <cx:pt idx="125">Medium</cx:pt>
          <cx:pt idx="126">High</cx:pt>
          <cx:pt idx="127">High</cx:pt>
          <cx:pt idx="128">High</cx:pt>
          <cx:pt idx="129">High</cx:pt>
          <cx:pt idx="130">High</cx:pt>
          <cx:pt idx="131">High</cx:pt>
          <cx:pt idx="132">Medium</cx:pt>
          <cx:pt idx="133">Medium</cx:pt>
          <cx:pt idx="134">High</cx:pt>
          <cx:pt idx="135">High</cx:pt>
          <cx:pt idx="136">High</cx:pt>
          <cx:pt idx="137">High</cx:pt>
          <cx:pt idx="138">High</cx:pt>
          <cx:pt idx="139">Medium</cx:pt>
          <cx:pt idx="140">High</cx:pt>
          <cx:pt idx="141">High</cx:pt>
          <cx:pt idx="142">High</cx:pt>
          <cx:pt idx="143">Medium</cx:pt>
          <cx:pt idx="144">High</cx:pt>
          <cx:pt idx="145">Medium</cx:pt>
          <cx:pt idx="146">Medium</cx:pt>
          <cx:pt idx="147">Medium</cx:pt>
          <cx:pt idx="148">Medium</cx:pt>
          <cx:pt idx="149">Low</cx:pt>
          <cx:pt idx="150">High</cx:pt>
          <cx:pt idx="151">High</cx:pt>
          <cx:pt idx="152">High</cx:pt>
          <cx:pt idx="153">High</cx:pt>
          <cx:pt idx="154">High</cx:pt>
          <cx:pt idx="155">High</cx:pt>
          <cx:pt idx="156">Medium</cx:pt>
          <cx:pt idx="157">Medium</cx:pt>
          <cx:pt idx="158">High</cx:pt>
          <cx:pt idx="159">High</cx:pt>
          <cx:pt idx="160">Medium</cx:pt>
          <cx:pt idx="161">Medium</cx:pt>
          <cx:pt idx="162">High</cx:pt>
          <cx:pt idx="163">Medium</cx:pt>
          <cx:pt idx="164">Medium</cx:pt>
          <cx:pt idx="165">High</cx:pt>
          <cx:pt idx="166">High</cx:pt>
          <cx:pt idx="167">High</cx:pt>
          <cx:pt idx="168">High</cx:pt>
          <cx:pt idx="169">Medium</cx:pt>
          <cx:pt idx="170">Medium</cx:pt>
          <cx:pt idx="171">Medium</cx:pt>
          <cx:pt idx="172">Medium</cx:pt>
          <cx:pt idx="173">Medium</cx:pt>
          <cx:pt idx="174">High</cx:pt>
          <cx:pt idx="175">High</cx:pt>
          <cx:pt idx="176">Medium</cx:pt>
          <cx:pt idx="177">Medium</cx:pt>
          <cx:pt idx="178">Medium</cx:pt>
          <cx:pt idx="179">High</cx:pt>
          <cx:pt idx="180">High</cx:pt>
          <cx:pt idx="181">Medium</cx:pt>
          <cx:pt idx="182">Medium</cx:pt>
          <cx:pt idx="183">High</cx:pt>
          <cx:pt idx="184">Medium</cx:pt>
          <cx:pt idx="185">High</cx:pt>
          <cx:pt idx="186">Medium</cx:pt>
          <cx:pt idx="187">High</cx:pt>
          <cx:pt idx="188">High</cx:pt>
          <cx:pt idx="189">High</cx:pt>
          <cx:pt idx="190">Medium</cx:pt>
          <cx:pt idx="191">High</cx:pt>
          <cx:pt idx="192">Medium</cx:pt>
          <cx:pt idx="193">High</cx:pt>
          <cx:pt idx="194">Medium</cx:pt>
          <cx:pt idx="195">Medium</cx:pt>
          <cx:pt idx="196">Medium</cx:pt>
          <cx:pt idx="197">Medium</cx:pt>
          <cx:pt idx="198">Low</cx:pt>
          <cx:pt idx="199">Medium</cx:pt>
          <cx:pt idx="200">High</cx:pt>
          <cx:pt idx="201">High</cx:pt>
          <cx:pt idx="202">Medium</cx:pt>
          <cx:pt idx="203">High</cx:pt>
          <cx:pt idx="204">High</cx:pt>
          <cx:pt idx="205">Medium</cx:pt>
          <cx:pt idx="206">Medium</cx:pt>
          <cx:pt idx="207">High</cx:pt>
          <cx:pt idx="208">Medium</cx:pt>
          <cx:pt idx="209">Medium</cx:pt>
          <cx:pt idx="210">Medium</cx:pt>
          <cx:pt idx="211">Medium</cx:pt>
          <cx:pt idx="212">Medium</cx:pt>
          <cx:pt idx="213">Low</cx:pt>
          <cx:pt idx="214">Low</cx:pt>
          <cx:pt idx="215">Medium</cx:pt>
          <cx:pt idx="216">Medium</cx:pt>
          <cx:pt idx="217">Medium</cx:pt>
          <cx:pt idx="218">High</cx:pt>
          <cx:pt idx="219">Medium</cx:pt>
          <cx:pt idx="220">Medium</cx:pt>
          <cx:pt idx="221">Medium</cx:pt>
          <cx:pt idx="222">Medium</cx:pt>
          <cx:pt idx="223">Medium</cx:pt>
          <cx:pt idx="224">Medium</cx:pt>
          <cx:pt idx="225">Medium</cx:pt>
          <cx:pt idx="226">Medium</cx:pt>
          <cx:pt idx="227">Medium</cx:pt>
          <cx:pt idx="228">Medium</cx:pt>
          <cx:pt idx="229">Medium</cx:pt>
          <cx:pt idx="230">Low</cx:pt>
          <cx:pt idx="231">Medium</cx:pt>
          <cx:pt idx="232">Medium</cx:pt>
          <cx:pt idx="233">Low</cx:pt>
          <cx:pt idx="234">Medium</cx:pt>
          <cx:pt idx="235">Medium</cx:pt>
          <cx:pt idx="236">Medium</cx:pt>
          <cx:pt idx="237">Medium</cx:pt>
          <cx:pt idx="238">Medium</cx:pt>
          <cx:pt idx="239">Medium</cx:pt>
          <cx:pt idx="240">Medium</cx:pt>
          <cx:pt idx="241">Medium</cx:pt>
          <cx:pt idx="242">Medium</cx:pt>
          <cx:pt idx="243">Medium</cx:pt>
          <cx:pt idx="244">Medium</cx:pt>
          <cx:pt idx="245">Medium</cx:pt>
          <cx:pt idx="246">Medium</cx:pt>
          <cx:pt idx="247">Medium</cx:pt>
          <cx:pt idx="248">Medium</cx:pt>
          <cx:pt idx="249">Medium</cx:pt>
          <cx:pt idx="250">High</cx:pt>
          <cx:pt idx="251">Medium</cx:pt>
          <cx:pt idx="252">Medium</cx:pt>
          <cx:pt idx="253">Medium</cx:pt>
          <cx:pt idx="254">Low</cx:pt>
          <cx:pt idx="255">Medium</cx:pt>
          <cx:pt idx="256">Low</cx:pt>
          <cx:pt idx="257">Medium</cx:pt>
          <cx:pt idx="258">Medium</cx:pt>
          <cx:pt idx="259">Medium</cx:pt>
          <cx:pt idx="260">Medium</cx:pt>
          <cx:pt idx="261">Low</cx:pt>
          <cx:pt idx="262">Medium</cx:pt>
          <cx:pt idx="263">Medium</cx:pt>
          <cx:pt idx="264">Medium</cx:pt>
          <cx:pt idx="265">Medium</cx:pt>
          <cx:pt idx="266">Medium</cx:pt>
          <cx:pt idx="267">Medium</cx:pt>
          <cx:pt idx="268">Medium</cx:pt>
          <cx:pt idx="269">High</cx:pt>
          <cx:pt idx="270">Low</cx:pt>
          <cx:pt idx="271">Medium</cx:pt>
          <cx:pt idx="272">Medium</cx:pt>
          <cx:pt idx="273">Medium</cx:pt>
          <cx:pt idx="274">Low</cx:pt>
          <cx:pt idx="275">Medium</cx:pt>
          <cx:pt idx="276">Low</cx:pt>
          <cx:pt idx="277">Medium</cx:pt>
          <cx:pt idx="278">Medium</cx:pt>
          <cx:pt idx="279">Medium</cx:pt>
          <cx:pt idx="280">Medium</cx:pt>
          <cx:pt idx="281">Medium</cx:pt>
          <cx:pt idx="282">Medium</cx:pt>
          <cx:pt idx="283">Medium</cx:pt>
          <cx:pt idx="284">Medium</cx:pt>
          <cx:pt idx="285">Low</cx:pt>
          <cx:pt idx="286">Medium</cx:pt>
          <cx:pt idx="287">Medium</cx:pt>
          <cx:pt idx="288">Medium</cx:pt>
          <cx:pt idx="289">Medium</cx:pt>
          <cx:pt idx="290">Medium</cx:pt>
          <cx:pt idx="291">Medium</cx:pt>
          <cx:pt idx="292">Medium</cx:pt>
          <cx:pt idx="293">High</cx:pt>
          <cx:pt idx="294">Low</cx:pt>
          <cx:pt idx="295">Medium</cx:pt>
          <cx:pt idx="296">Low</cx:pt>
          <cx:pt idx="297">Low</cx:pt>
          <cx:pt idx="298">Medium</cx:pt>
          <cx:pt idx="299">Medium</cx:pt>
          <cx:pt idx="300">Medium</cx:pt>
          <cx:pt idx="301">High</cx:pt>
          <cx:pt idx="302">Low</cx:pt>
          <cx:pt idx="303">Medium</cx:pt>
          <cx:pt idx="304">Medium</cx:pt>
          <cx:pt idx="305">Medium</cx:pt>
          <cx:pt idx="306">Medium</cx:pt>
          <cx:pt idx="307">Medium</cx:pt>
          <cx:pt idx="308">Medium</cx:pt>
          <cx:pt idx="309">Medium</cx:pt>
          <cx:pt idx="310">Low</cx:pt>
          <cx:pt idx="311">Medium</cx:pt>
          <cx:pt idx="312">Medium</cx:pt>
          <cx:pt idx="313">Medium</cx:pt>
          <cx:pt idx="314">Medium</cx:pt>
          <cx:pt idx="315">Medium</cx:pt>
          <cx:pt idx="316">Low</cx:pt>
          <cx:pt idx="317">Medium</cx:pt>
          <cx:pt idx="318">Medium</cx:pt>
          <cx:pt idx="319">Medium</cx:pt>
          <cx:pt idx="320">Medium</cx:pt>
          <cx:pt idx="321">Medium</cx:pt>
          <cx:pt idx="322">Medium</cx:pt>
          <cx:pt idx="323">Low</cx:pt>
          <cx:pt idx="324">Medium</cx:pt>
          <cx:pt idx="325">Medium</cx:pt>
          <cx:pt idx="326">Medium</cx:pt>
          <cx:pt idx="327">Medium</cx:pt>
          <cx:pt idx="328">Low</cx:pt>
          <cx:pt idx="329">Medium</cx:pt>
          <cx:pt idx="330">Low</cx:pt>
          <cx:pt idx="331">Medium</cx:pt>
          <cx:pt idx="332">Medium</cx:pt>
          <cx:pt idx="333">Medium</cx:pt>
          <cx:pt idx="334">Medium</cx:pt>
          <cx:pt idx="335">Medium</cx:pt>
          <cx:pt idx="336">Low</cx:pt>
          <cx:pt idx="337">Medium</cx:pt>
          <cx:pt idx="338">Medium</cx:pt>
          <cx:pt idx="339">Medium</cx:pt>
          <cx:pt idx="340">Low</cx:pt>
          <cx:pt idx="341">Medium</cx:pt>
          <cx:pt idx="342">Low</cx:pt>
          <cx:pt idx="343">Low</cx:pt>
          <cx:pt idx="344">Medium</cx:pt>
          <cx:pt idx="345">Low</cx:pt>
          <cx:pt idx="346">Medium</cx:pt>
          <cx:pt idx="347">Low</cx:pt>
          <cx:pt idx="348">Low</cx:pt>
          <cx:pt idx="349">Low</cx:pt>
          <cx:pt idx="350">Medium</cx:pt>
          <cx:pt idx="351">Medium</cx:pt>
          <cx:pt idx="352">Medium</cx:pt>
          <cx:pt idx="353">Low</cx:pt>
          <cx:pt idx="354">Low</cx:pt>
          <cx:pt idx="355">Medium</cx:pt>
          <cx:pt idx="356">Medium</cx:pt>
          <cx:pt idx="357">Low</cx:pt>
          <cx:pt idx="358">Low</cx:pt>
          <cx:pt idx="359">Low</cx:pt>
          <cx:pt idx="360">Low</cx:pt>
          <cx:pt idx="361">Low</cx:pt>
          <cx:pt idx="362">Low</cx:pt>
          <cx:pt idx="363">Low</cx:pt>
          <cx:pt idx="364">Medium</cx:pt>
          <cx:pt idx="365">Low</cx:pt>
          <cx:pt idx="366">Low</cx:pt>
          <cx:pt idx="367">Medium</cx:pt>
          <cx:pt idx="368">Low</cx:pt>
          <cx:pt idx="369">Medium</cx:pt>
          <cx:pt idx="370">Medium</cx:pt>
          <cx:pt idx="371">Low</cx:pt>
          <cx:pt idx="372">Low</cx:pt>
          <cx:pt idx="373">Low</cx:pt>
          <cx:pt idx="374">Low</cx:pt>
          <cx:pt idx="375">Low</cx:pt>
          <cx:pt idx="376">Low</cx:pt>
          <cx:pt idx="377">Medium</cx:pt>
          <cx:pt idx="378">Medium</cx:pt>
          <cx:pt idx="379">Low</cx:pt>
          <cx:pt idx="380">Low</cx:pt>
          <cx:pt idx="381">Medium</cx:pt>
          <cx:pt idx="382">Low</cx:pt>
          <cx:pt idx="383">Low</cx:pt>
          <cx:pt idx="384">Medium</cx:pt>
          <cx:pt idx="385">Low</cx:pt>
          <cx:pt idx="386">Low</cx:pt>
          <cx:pt idx="387">Medium</cx:pt>
          <cx:pt idx="388">Medium</cx:pt>
          <cx:pt idx="389">Low</cx:pt>
          <cx:pt idx="390">Low</cx:pt>
          <cx:pt idx="391">Medium</cx:pt>
          <cx:pt idx="392">Low</cx:pt>
          <cx:pt idx="393">Low</cx:pt>
          <cx:pt idx="394">Low</cx:pt>
          <cx:pt idx="395">Low</cx:pt>
          <cx:pt idx="396">Low</cx:pt>
          <cx:pt idx="397">Low</cx:pt>
          <cx:pt idx="398">Low</cx:pt>
          <cx:pt idx="399">Low</cx:pt>
        </cx:lvl>
      </cx:strDim>
      <cx:numDim type="val">
        <cx:f>Sheet1!$A$8:$A$401</cx:f>
        <cx:lvl ptCount="394" formatCode="General">
          <cx:pt idx="0">31.367000000000001</cx:pt>
          <cx:pt idx="1">20.149999999999999</cx:pt>
          <cx:pt idx="2">44.521999999999998</cx:pt>
          <cx:pt idx="3">15.333</cx:pt>
          <cx:pt idx="4">32.915999999999997</cx:pt>
          <cx:pt idx="5">30.681999999999999</cx:pt>
          <cx:pt idx="6">32.164000000000001</cx:pt>
          <cx:pt idx="7">15.353999999999999</cx:pt>
          <cx:pt idx="8">19.225000000000001</cx:pt>
          <cx:pt idx="9">43.539999999999999</cx:pt>
          <cx:pt idx="10">11.741</cx:pt>
          <cx:pt idx="11">30.733000000000001</cx:pt>
          <cx:pt idx="12">38.009</cx:pt>
          <cx:pt idx="13">14.084</cx:pt>
          <cx:pt idx="14">16.818999999999999</cx:pt>
          <cx:pt idx="15">39.109999999999999</cx:pt>
          <cx:pt idx="16">28.574999999999999</cx:pt>
          <cx:pt idx="17">35.177</cx:pt>
          <cx:pt idx="18">27.039000000000001</cx:pt>
          <cx:pt idx="19">23.012</cx:pt>
          <cx:pt idx="20">27.241</cx:pt>
          <cx:pt idx="21">11.808</cx:pt>
          <cx:pt idx="22">29.564</cx:pt>
          <cx:pt idx="23">27.577999999999999</cx:pt>
          <cx:pt idx="24">57.201999999999998</cx:pt>
          <cx:pt idx="25">10.726000000000001</cx:pt>
          <cx:pt idx="26">21.373999999999999</cx:pt>
          <cx:pt idx="27">23.856999999999999</cx:pt>
          <cx:pt idx="28">15.183999999999999</cx:pt>
          <cx:pt idx="29">13.444000000000001</cx:pt>
          <cx:pt idx="30">92.111999999999995</cx:pt>
          <cx:pt idx="31">55.055999999999997</cx:pt>
          <cx:pt idx="32">19.536999999999999</cx:pt>
          <cx:pt idx="33">53.319000000000003</cx:pt>
          <cx:pt idx="34">31.353000000000002</cx:pt>
          <cx:pt idx="35">13.676</cx:pt>
          <cx:pt idx="36">35.691000000000003</cx:pt>
          <cx:pt idx="37">29.402999999999999</cx:pt>
          <cx:pt idx="38">27.469999999999999</cx:pt>
          <cx:pt idx="39">34.771999999999998</cx:pt>
          <cx:pt idx="40">30.132000000000001</cx:pt>
          <cx:pt idx="41">24.050000000000001</cx:pt>
          <cx:pt idx="42">80.861000000000004</cx:pt>
          <cx:pt idx="43">23.364999999999998</cx:pt>
          <cx:pt idx="44">30.405999999999999</cx:pt>
          <cx:pt idx="45">27.349</cx:pt>
          <cx:pt idx="46">21.038</cx:pt>
          <cx:pt idx="47">23.449999999999999</cx:pt>
          <cx:pt idx="48">11.603</cx:pt>
          <cx:pt idx="49">15.602</cx:pt>
          <cx:pt idx="50">22.561</cx:pt>
          <cx:pt idx="51">34.509</cx:pt>
          <cx:pt idx="52">36.363999999999997</cx:pt>
          <cx:pt idx="53">15.717000000000001</cx:pt>
          <cx:pt idx="54">10.363</cx:pt>
          <cx:pt idx="55">25.936</cx:pt>
          <cx:pt idx="56">15.629</cx:pt>
          <cx:pt idx="57">41.399999999999999</cx:pt>
          <cx:pt idx="58">25.988</cx:pt>
          <cx:pt idx="59">36.142000000000003</cx:pt>
          <cx:pt idx="60">14.711</cx:pt>
          <cx:pt idx="61">18.966999999999999</cx:pt>
          <cx:pt idx="62">18.036000000000001</cx:pt>
          <cx:pt idx="63">60.448999999999998</cx:pt>
          <cx:pt idx="64">42.914999999999999</cx:pt>
          <cx:pt idx="65">27.271999999999998</cx:pt>
          <cx:pt idx="66">20.791</cx:pt>
          <cx:pt idx="67">24.460000000000001</cx:pt>
          <cx:pt idx="68">75.406000000000006</cx:pt>
          <cx:pt idx="69">18.951000000000001</cx:pt>
          <cx:pt idx="70">27.59</cx:pt>
          <cx:pt idx="71">12.414</cx:pt>
          <cx:pt idx="72">30.012</cx:pt>
          <cx:pt idx="73">13.433</cx:pt>
          <cx:pt idx="74">30.001999999999999</cx:pt>
          <cx:pt idx="75">39.609000000000002</cx:pt>
          <cx:pt idx="76">39.116</cx:pt>
          <cx:pt idx="77">28.143999999999998</cx:pt>
          <cx:pt idx="78">53.308</cx:pt>
          <cx:pt idx="79">20.088000000000001</cx:pt>
          <cx:pt idx="80">16.529</cx:pt>
          <cx:pt idx="81">25.974</cx:pt>
          <cx:pt idx="82">17.315999999999999</cx:pt>
          <cx:pt idx="83">37.728000000000002</cx:pt>
          <cx:pt idx="84">16.279</cx:pt>
          <cx:pt idx="85">44.472999999999999</cx:pt>
          <cx:pt idx="86">88.829999999999998</cx:pt>
          <cx:pt idx="87">20.917999999999999</cx:pt>
          <cx:pt idx="88">33.017000000000003</cx:pt>
          <cx:pt idx="89">34.536999999999999</cx:pt>
          <cx:pt idx="90">34.950000000000003</cx:pt>
          <cx:pt idx="91">15.476000000000001</cx:pt>
          <cx:pt idx="92">26.532</cx:pt>
          <cx:pt idx="93">17.391999999999999</cx:pt>
          <cx:pt idx="94">50.698999999999998</cx:pt>
          <cx:pt idx="95">45.119999999999997</cx:pt>
          <cx:pt idx="96">54.662999999999997</cx:pt>
          <cx:pt idx="97">25.077999999999999</cx:pt>
          <cx:pt idx="98">17.699999999999999</cx:pt>
          <cx:pt idx="99">24.542999999999999</cx:pt>
          <cx:pt idx="100">22.574000000000002</cx:pt>
          <cx:pt idx="101">53.479999999999997</cx:pt>
          <cx:pt idx="102">21.238</cx:pt>
          <cx:pt idx="103">76.347999999999999</cx:pt>
          <cx:pt idx="104">58.063000000000002</cx:pt>
          <cx:pt idx="105">41.192</cx:pt>
          <cx:pt idx="106">58.350999999999999</cx:pt>
          <cx:pt idx="107">28.474</cx:pt>
          <cx:pt idx="108">76.272999999999996</cx:pt>
          <cx:pt idx="109">14.132</cx:pt>
          <cx:pt idx="110">29.725000000000001</cx:pt>
          <cx:pt idx="111">15.866</cx:pt>
          <cx:pt idx="112">68.462000000000003</cx:pt>
          <cx:pt idx="113">57.872</cx:pt>
          <cx:pt idx="114">20.936</cx:pt>
          <cx:pt idx="115">19.143999999999998</cx:pt>
          <cx:pt idx="116">29.704999999999998</cx:pt>
          <cx:pt idx="117">26.067</cx:pt>
          <cx:pt idx="118">41.418999999999997</cx:pt>
          <cx:pt idx="119">69.165000000000006</cx:pt>
          <cx:pt idx="120">26.370000000000001</cx:pt>
          <cx:pt idx="121">27.369</cx:pt>
          <cx:pt idx="122">27.952000000000002</cx:pt>
          <cx:pt idx="123">31.335000000000001</cx:pt>
          <cx:pt idx="124">21.010999999999999</cx:pt>
          <cx:pt idx="125">36.354999999999997</cx:pt>
          <cx:pt idx="126">36.472000000000001</cx:pt>
          <cx:pt idx="127">55.054000000000002</cx:pt>
          <cx:pt idx="128">10.503</cx:pt>
          <cx:pt idx="129">24.314</cx:pt>
          <cx:pt idx="130">10.627000000000001</cx:pt>
          <cx:pt idx="131">19.588000000000001</cx:pt>
          <cx:pt idx="132">20.995999999999999</cx:pt>
          <cx:pt idx="133">80.616</cx:pt>
          <cx:pt idx="134">14.595000000000001</cx:pt>
          <cx:pt idx="135">23.106000000000002</cx:pt>
          <cx:pt idx="136">12.031000000000001</cx:pt>
          <cx:pt idx="137">39.704999999999998</cx:pt>
          <cx:pt idx="138">23.792999999999999</cx:pt>
          <cx:pt idx="139">85.424999999999997</cx:pt>
          <cx:pt idx="140">107.986</cx:pt>
          <cx:pt idx="141">51.344999999999999</cx:pt>
          <cx:pt idx="142">41.024999999999999</cx:pt>
          <cx:pt idx="143">128.03999999999999</cx:pt>
          <cx:pt idx="144">18.145</cx:pt>
          <cx:pt idx="145">27.228999999999999</cx:pt>
          <cx:pt idx="146">54.319000000000003</cx:pt>
          <cx:pt idx="147">16.481999999999999</cx:pt>
          <cx:pt idx="148">15.125</cx:pt>
          <cx:pt idx="149">36.933999999999997</cx:pt>
          <cx:pt idx="150">65.896000000000001</cx:pt>
          <cx:pt idx="151">59.854999999999997</cx:pt>
          <cx:pt idx="152">13.561</cx:pt>
          <cx:pt idx="153">21.152999999999999</cx:pt>
          <cx:pt idx="154">61.619999999999997</cx:pt>
          <cx:pt idx="155">39.145000000000003</cx:pt>
          <cx:pt idx="156">24.088000000000001</cx:pt>
          <cx:pt idx="157">27.794</cx:pt>
          <cx:pt idx="158">55.881999999999998</cx:pt>
          <cx:pt idx="159">14.891</cx:pt>
          <cx:pt idx="160">10.353999999999999</cx:pt>
          <cx:pt idx="161">28.507999999999999</cx:pt>
          <cx:pt idx="162">13.647</cx:pt>
          <cx:pt idx="163">67.936999999999998</cx:pt>
          <cx:pt idx="164">89</cx:pt>
          <cx:pt idx="165">30.111000000000001</cx:pt>
          <cx:pt idx="166">24.888999999999999</cx:pt>
          <cx:pt idx="167">36.496000000000002</cx:pt>
          <cx:pt idx="168">19.253</cx:pt>
          <cx:pt idx="169">36.295000000000002</cx:pt>
          <cx:pt idx="170">57.100000000000001</cx:pt>
          <cx:pt idx="171">62.328000000000003</cx:pt>
          <cx:pt idx="172">53.216999999999999</cx:pt>
          <cx:pt idx="173">14.292</cx:pt>
          <cx:pt idx="174">22.379000000000001</cx:pt>
          <cx:pt idx="175">44.158000000000001</cx:pt>
          <cx:pt idx="176">110.968</cx:pt>
          <cx:pt idx="177">10.734999999999999</cx:pt>
          <cx:pt idx="178">64.027000000000001</cx:pt>
          <cx:pt idx="179">12.068</cx:pt>
          <cx:pt idx="180">44.061</cx:pt>
          <cx:pt idx="181">31.029</cx:pt>
          <cx:pt idx="182">23.350000000000001</cx:pt>
          <cx:pt idx="183">10.635</cx:pt>
          <cx:pt idx="184">41.868000000000002</cx:pt>
          <cx:pt idx="185">13.234</cx:pt>
          <cx:pt idx="186">31.811</cx:pt>
          <cx:pt idx="187">17.975999999999999</cx:pt>
          <cx:pt idx="188">44.978000000000002</cx:pt>
          <cx:pt idx="189">60.579000000000001</cx:pt>
          <cx:pt idx="190">30.420000000000002</cx:pt>
          <cx:pt idx="191">28.315999999999999</cx:pt>
          <cx:pt idx="192">148.08000000000001</cx:pt>
          <cx:pt idx="193">57.337000000000003</cx:pt>
          <cx:pt idx="194">14.478999999999999</cx:pt>
          <cx:pt idx="195">10.587999999999999</cx:pt>
          <cx:pt idx="196">32.792999999999999</cx:pt>
          <cx:pt idx="197">12.581</cx:pt>
          <cx:pt idx="198">13.364000000000001</cx:pt>
          <cx:pt idx="199">51.531999999999996</cx:pt>
          <cx:pt idx="200">66.989000000000004</cx:pt>
          <cx:pt idx="201">10.852</cx:pt>
          <cx:pt idx="202">42.529000000000003</cx:pt>
          <cx:pt idx="203">23.672000000000001</cx:pt>
          <cx:pt idx="204">48.576999999999998</cx:pt>
          <cx:pt idx="205">40.442</cx:pt>
          <cx:pt idx="206">46.101999999999997</cx:pt>
          <cx:pt idx="207">134.18100000000001</cx:pt>
          <cx:pt idx="208">163.32900000000001</cx:pt>
          <cx:pt idx="209">11.795</cx:pt>
          <cx:pt idx="210">51.872</cx:pt>
          <cx:pt idx="211">41.531999999999996</cx:pt>
          <cx:pt idx="212">30.622</cx:pt>
          <cx:pt idx="213">35.863999999999997</cx:pt>
          <cx:pt idx="214">55.186999999999998</cx:pt>
          <cx:pt idx="215">53.401000000000003</cx:pt>
          <cx:pt idx="216">76.781999999999996</cx:pt>
          <cx:pt idx="217">40.884999999999998</cx:pt>
          <cx:pt idx="218">12.096</cx:pt>
          <cx:pt idx="219">25.382999999999999</cx:pt>
          <cx:pt idx="220">10.403</cx:pt>
          <cx:pt idx="221">27.512</cx:pt>
          <cx:pt idx="222">64.173000000000002</cx:pt>
          <cx:pt idx="223">15.56</cx:pt>
          <cx:pt idx="224">104.593</cx:pt>
          <cx:pt idx="225">21.786000000000001</cx:pt>
          <cx:pt idx="226">63.930999999999997</cx:pt>
          <cx:pt idx="227">104.483</cx:pt>
          <cx:pt idx="228">29.399999999999999</cx:pt>
          <cx:pt idx="229">24.23</cx:pt>
          <cx:pt idx="230">23.989000000000001</cx:pt>
          <cx:pt idx="231">12</cx:pt>
          <cx:pt idx="232">91.876000000000005</cx:pt>
          <cx:pt idx="233">41.365000000000002</cx:pt>
          <cx:pt idx="234">44.204999999999998</cx:pt>
          <cx:pt idx="235">12.335000000000001</cx:pt>
          <cx:pt idx="236">35.509999999999998</cx:pt>
          <cx:pt idx="237">48.218000000000004</cx:pt>
          <cx:pt idx="238">39.421999999999997</cx:pt>
          <cx:pt idx="239">10.792999999999999</cx:pt>
          <cx:pt idx="240">19.529</cx:pt>
          <cx:pt idx="241">27.998999999999999</cx:pt>
          <cx:pt idx="242">42.356999999999999</cx:pt>
          <cx:pt idx="243">38.954000000000001</cx:pt>
          <cx:pt idx="244">42.470999999999997</cx:pt>
          <cx:pt idx="245">36.362000000000002</cx:pt>
          <cx:pt idx="246">25.123999999999999</cx:pt>
          <cx:pt idx="247">33.213999999999999</cx:pt>
          <cx:pt idx="248">115.123</cx:pt>
          <cx:pt idx="249">22.939</cx:pt>
          <cx:pt idx="250">103.893</cx:pt>
          <cx:pt idx="251">14.09</cx:pt>
          <cx:pt idx="252">34.908999999999999</cx:pt>
          <cx:pt idx="253">14.956</cx:pt>
          <cx:pt idx="254">15.741</cx:pt>
          <cx:pt idx="255">121.709</cx:pt>
          <cx:pt idx="256">19.635999999999999</cx:pt>
          <cx:pt idx="257">26.161999999999999</cx:pt>
          <cx:pt idx="258">24.919</cx:pt>
          <cx:pt idx="259">53.566000000000003</cx:pt>
          <cx:pt idx="260">19.349</cx:pt>
          <cx:pt idx="261">73.326999999999998</cx:pt>
          <cx:pt idx="262">14.887</cx:pt>
          <cx:pt idx="263">30.413</cx:pt>
          <cx:pt idx="264">151.947</cx:pt>
          <cx:pt idx="265">17.765000000000001</cx:pt>
          <cx:pt idx="266">49.793999999999997</cx:pt>
          <cx:pt idx="267">15.846</cx:pt>
          <cx:pt idx="268">93.039000000000001</cx:pt>
          <cx:pt idx="269">62.412999999999997</cx:pt>
          <cx:pt idx="270">87.625</cx:pt>
          <cx:pt idx="271">69.251000000000005</cx:pt>
          <cx:pt idx="272">39.055</cx:pt>
          <cx:pt idx="273">58.929000000000002</cx:pt>
          <cx:pt idx="274">113.77200000000001</cx:pt>
          <cx:pt idx="275">44.646000000000001</cx:pt>
          <cx:pt idx="276">29.567</cx:pt>
          <cx:pt idx="277">23.882999999999999</cx:pt>
          <cx:pt idx="278">17.055</cx:pt>
          <cx:pt idx="279">83.947999999999993</cx:pt>
          <cx:pt idx="280">48.497999999999998</cx:pt>
          <cx:pt idx="281">55.366999999999997</cx:pt>
          <cx:pt idx="282">27.847000000000001</cx:pt>
          <cx:pt idx="283">27.824999999999999</cx:pt>
          <cx:pt idx="284">23.949000000000002</cx:pt>
          <cx:pt idx="285">34.664000000000001</cx:pt>
          <cx:pt idx="286">12.238</cx:pt>
          <cx:pt idx="287">19.782</cx:pt>
          <cx:pt idx="288">92.385999999999996</cx:pt>
          <cx:pt idx="289">23.375</cx:pt>
          <cx:pt idx="290">94.192999999999998</cx:pt>
          <cx:pt idx="291">101.788</cx:pt>
          <cx:pt idx="292">58.164999999999999</cx:pt>
          <cx:pt idx="293">34.142000000000003</cx:pt>
          <cx:pt idx="294">16.710999999999999</cx:pt>
          <cx:pt idx="295">23.792999999999999</cx:pt>
          <cx:pt idx="296">71.408000000000001</cx:pt>
          <cx:pt idx="297">75.257000000000005</cx:pt>
          <cx:pt idx="298">11.186999999999999</cx:pt>
          <cx:pt idx="299">49.927</cx:pt>
          <cx:pt idx="300">49.57</cx:pt>
          <cx:pt idx="301">43.478999999999999</cx:pt>
          <cx:pt idx="302">106.02500000000001</cx:pt>
          <cx:pt idx="303">62.601999999999997</cx:pt>
          <cx:pt idx="304">82.706000000000003</cx:pt>
          <cx:pt idx="305">26.399999999999999</cx:pt>
          <cx:pt idx="306">21.550999999999998</cx:pt>
          <cx:pt idx="307">23.283000000000001</cx:pt>
          <cx:pt idx="308">26.812999999999999</cx:pt>
          <cx:pt idx="309">32.856000000000002</cx:pt>
          <cx:pt idx="310">83.869</cx:pt>
          <cx:pt idx="311">16.478999999999999</cx:pt>
          <cx:pt idx="312">29.638000000000002</cx:pt>
          <cx:pt idx="313">16.103000000000002</cx:pt>
          <cx:pt idx="314">12.456</cx:pt>
          <cx:pt idx="315">16.303999999999998</cx:pt>
          <cx:pt idx="316">34.479999999999997</cx:pt>
          <cx:pt idx="317">148.92400000000001</cx:pt>
          <cx:pt idx="318">18.701000000000001</cx:pt>
          <cx:pt idx="319">30.550000000000001</cx:pt>
          <cx:pt idx="320">37.347999999999999</cx:pt>
          <cx:pt idx="321">36.929000000000002</cx:pt>
          <cx:pt idx="322">49.165999999999997</cx:pt>
          <cx:pt idx="323">35.609999999999999</cx:pt>
          <cx:pt idx="324">77.379999999999995</cx:pt>
          <cx:pt idx="325">20.974</cx:pt>
          <cx:pt idx="326">55.411999999999999</cx:pt>
          <cx:pt idx="327">21.454999999999998</cx:pt>
          <cx:pt idx="328">56.256</cx:pt>
          <cx:pt idx="329">20.190999999999999</cx:pt>
          <cx:pt idx="330">59.878999999999998</cx:pt>
          <cx:pt idx="331">33.694000000000003</cx:pt>
          <cx:pt idx="332">46.006999999999998</cx:pt>
          <cx:pt idx="333">42.079000000000001</cx:pt>
          <cx:pt idx="334">73.914000000000001</cx:pt>
          <cx:pt idx="335">36.508000000000003</cx:pt>
          <cx:pt idx="336">146.18299999999999</cx:pt>
          <cx:pt idx="337">180.37899999999999</cx:pt>
          <cx:pt idx="338">20.405000000000001</cx:pt>
          <cx:pt idx="339">69.942999999999998</cx:pt>
          <cx:pt idx="340">15.079000000000001</cx:pt>
          <cx:pt idx="341">43.682000000000002</cx:pt>
          <cx:pt idx="342">49.502000000000002</cx:pt>
          <cx:pt idx="343">63.808999999999997</cx:pt>
          <cx:pt idx="344">33.656999999999996</cx:pt>
          <cx:pt idx="345">30.007000000000001</cx:pt>
          <cx:pt idx="346">27.329999999999998</cx:pt>
          <cx:pt idx="347">58.780999999999999</cx:pt>
          <cx:pt idx="348">149.316</cx:pt>
          <cx:pt idx="349">31.861000000000001</cx:pt>
          <cx:pt idx="350">37.878</cx:pt>
          <cx:pt idx="351">115.52</cx:pt>
          <cx:pt idx="352">52.179000000000002</cx:pt>
          <cx:pt idx="353">80.180000000000007</cx:pt>
          <cx:pt idx="354">113.65900000000001</cx:pt>
          <cx:pt idx="355">59.530000000000001</cx:pt>
          <cx:pt idx="356">160.23099999999999</cx:pt>
          <cx:pt idx="357">71.682000000000002</cx:pt>
          <cx:pt idx="358">10.842000000000001</cx:pt>
          <cx:pt idx="359">98.515000000000001</cx:pt>
          <cx:pt idx="360">58.026000000000003</cx:pt>
          <cx:pt idx="361">19.530999999999999</cx:pt>
          <cx:pt idx="362">128.66900000000001</cx:pt>
          <cx:pt idx="363">44.847000000000001</cx:pt>
          <cx:pt idx="364">16.751000000000001</cx:pt>
          <cx:pt idx="365">123.29900000000001</cx:pt>
          <cx:pt idx="366">61.069000000000003</cx:pt>
          <cx:pt idx="367">63.533999999999999</cx:pt>
          <cx:pt idx="368">83.850999999999999</cx:pt>
          <cx:pt idx="369">69.656000000000006</cx:pt>
          <cx:pt idx="370">91.361999999999995</cx:pt>
          <cx:pt idx="371">71.061000000000007</cx:pt>
          <cx:pt idx="372">24.824000000000002</cx:pt>
          <cx:pt idx="373">72.944999999999993</cx:pt>
          <cx:pt idx="374">125.48</cx:pt>
          <cx:pt idx="375">14.311999999999999</cx:pt>
          <cx:pt idx="376">113.82899999999999</cx:pt>
          <cx:pt idx="377">135.11799999999999</cx:pt>
          <cx:pt idx="378">26.427</cx:pt>
          <cx:pt idx="379">180.68199999999999</cx:pt>
          <cx:pt idx="380">63.094999999999999</cx:pt>
          <cx:pt idx="381">68.206000000000003</cx:pt>
          <cx:pt idx="382">39.831000000000003</cx:pt>
          <cx:pt idx="383">130.209</cx:pt>
          <cx:pt idx="384">158.88900000000001</cx:pt>
          <cx:pt idx="385">33.436999999999998</cx:pt>
          <cx:pt idx="386">121.834</cx:pt>
          <cx:pt idx="387">68.712999999999994</cx:pt>
          <cx:pt idx="388">107.84099999999999</cx:pt>
          <cx:pt idx="389">140.672</cx:pt>
          <cx:pt idx="390">124.29000000000001</cx:pt>
          <cx:pt idx="391">152.298</cx:pt>
          <cx:pt idx="392">186.63399999999999</cx:pt>
          <cx:pt idx="393">182.72800000000001</cx:pt>
        </cx:lvl>
      </cx:numDim>
    </cx:data>
  </cx:chartData>
  <cx:chart>
    <cx:title pos="t" align="ctr" overlay="0">
      <cx:tx>
        <cx:txData>
          <cx:v>Card Holder Income by Credit Risk Group</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Card Holder Income by Credit Risk Group</a:t>
          </a:r>
        </a:p>
      </cx:txPr>
    </cx:title>
    <cx:plotArea>
      <cx:plotAreaRegion>
        <cx:series layoutId="boxWhisker" uniqueId="{5282CEA1-DEE3-40C4-A4B2-7A9C3F740726}">
          <cx:dataId val="0"/>
          <cx:layoutPr>
            <cx:visibility meanLine="0" meanMarker="1" nonoutliers="0" outliers="1"/>
            <cx:statistics quartileMethod="exclusive"/>
          </cx:layoutPr>
        </cx:series>
      </cx:plotAreaRegion>
      <cx:axis id="0">
        <cx:catScaling gapWidth="1"/>
        <cx:tickLabels/>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0.48335</cdr:x>
      <cdr:y>0.41757</cdr:y>
    </cdr:from>
    <cdr:to>
      <cdr:x>0.60275</cdr:x>
      <cdr:y>0.57143</cdr:y>
    </cdr:to>
    <cdr:cxnSp macro="">
      <cdr:nvCxnSpPr>
        <cdr:cNvPr id="3" name="Straight Arrow Connector 2"/>
        <cdr:cNvCxnSpPr/>
      </cdr:nvCxnSpPr>
      <cdr:spPr>
        <a:xfrm xmlns:a="http://schemas.openxmlformats.org/drawingml/2006/main" flipH="1" flipV="1">
          <a:off x="2872857" y="2037216"/>
          <a:ext cx="709666" cy="750637"/>
        </a:xfrm>
        <a:prstGeom xmlns:a="http://schemas.openxmlformats.org/drawingml/2006/main" prst="straightConnector1">
          <a:avLst/>
        </a:prstGeom>
        <a:ln xmlns:a="http://schemas.openxmlformats.org/drawingml/2006/main" w="38100">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0.53502</cdr:x>
      <cdr:y>0.58326</cdr:y>
    </cdr:from>
    <cdr:to>
      <cdr:x>0.80138</cdr:x>
      <cdr:y>0.6532</cdr:y>
    </cdr:to>
    <cdr:sp macro="" textlink="">
      <cdr:nvSpPr>
        <cdr:cNvPr id="6" name="Text Box 5"/>
        <cdr:cNvSpPr txBox="1"/>
      </cdr:nvSpPr>
      <cdr:spPr>
        <a:xfrm xmlns:a="http://schemas.openxmlformats.org/drawingml/2006/main">
          <a:off x="3179928" y="2845558"/>
          <a:ext cx="1583141" cy="34119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1100"/>
            <a:t>January</a:t>
          </a:r>
          <a:r>
            <a:rPr lang="en-CA" sz="1100" baseline="0"/>
            <a:t> 2017 applicants</a:t>
          </a:r>
          <a:endParaRPr lang="en-CA"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4381</Words>
  <Characters>24972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fares alherwi</cp:lastModifiedBy>
  <cp:revision>2</cp:revision>
  <dcterms:created xsi:type="dcterms:W3CDTF">2020-03-27T16:50:00Z</dcterms:created>
  <dcterms:modified xsi:type="dcterms:W3CDTF">2020-03-27T16:50:00Z</dcterms:modified>
</cp:coreProperties>
</file>